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tblpY="568"/>
        <w:tblOverlap w:val="never"/>
        <w:tblW w:w="9701" w:type="dxa"/>
        <w:tblLayout w:type="fixed"/>
        <w:tblCellMar>
          <w:left w:w="0" w:type="dxa"/>
          <w:right w:w="0" w:type="dxa"/>
        </w:tblCellMar>
        <w:tblLook w:val="04A0" w:firstRow="1" w:lastRow="0" w:firstColumn="1" w:lastColumn="0" w:noHBand="0" w:noVBand="1"/>
      </w:tblPr>
      <w:tblGrid>
        <w:gridCol w:w="7541"/>
        <w:gridCol w:w="2160"/>
      </w:tblGrid>
      <w:tr w:rsidR="000A53E2" w:rsidRPr="00056AB8" w14:paraId="4F40E510" w14:textId="77777777" w:rsidTr="00C91E9C">
        <w:trPr>
          <w:trHeight w:hRule="exact" w:val="1474"/>
        </w:trPr>
        <w:tc>
          <w:tcPr>
            <w:tcW w:w="7541" w:type="dxa"/>
          </w:tcPr>
          <w:p w14:paraId="24C4BC8A" w14:textId="77777777" w:rsidR="000A53E2" w:rsidRPr="00056AB8" w:rsidRDefault="000A53E2" w:rsidP="00C91E9C">
            <w:pPr>
              <w:rPr>
                <w:rFonts w:asciiTheme="majorHAnsi" w:hAnsiTheme="majorHAnsi"/>
                <w:sz w:val="20"/>
                <w:szCs w:val="20"/>
                <w:lang w:val="en-US"/>
              </w:rPr>
            </w:pPr>
          </w:p>
        </w:tc>
        <w:tc>
          <w:tcPr>
            <w:tcW w:w="2160" w:type="dxa"/>
          </w:tcPr>
          <w:p w14:paraId="2A81C3CA" w14:textId="77777777" w:rsidR="000A53E2" w:rsidRPr="00056AB8" w:rsidRDefault="000A53E2" w:rsidP="00C91E9C">
            <w:pPr>
              <w:pStyle w:val="Deloitteaddress"/>
              <w:rPr>
                <w:rFonts w:asciiTheme="majorHAnsi" w:hAnsiTheme="majorHAnsi"/>
                <w:sz w:val="20"/>
                <w:szCs w:val="20"/>
                <w:lang w:val="en-US"/>
              </w:rPr>
            </w:pPr>
          </w:p>
        </w:tc>
      </w:tr>
    </w:tbl>
    <w:tbl>
      <w:tblPr>
        <w:tblStyle w:val="TableGrid"/>
        <w:tblW w:w="0" w:type="auto"/>
        <w:tblBorders>
          <w:top w:val="single" w:sz="2" w:space="0" w:color="auto"/>
          <w:insideH w:val="single" w:sz="2" w:space="0" w:color="auto"/>
        </w:tblBorders>
        <w:tblLayout w:type="fixed"/>
        <w:tblCellMar>
          <w:top w:w="85" w:type="dxa"/>
          <w:left w:w="0" w:type="dxa"/>
          <w:bottom w:w="142" w:type="dxa"/>
          <w:right w:w="0" w:type="dxa"/>
        </w:tblCellMar>
        <w:tblLook w:val="04A0" w:firstRow="1" w:lastRow="0" w:firstColumn="1" w:lastColumn="0" w:noHBand="0" w:noVBand="1"/>
      </w:tblPr>
      <w:tblGrid>
        <w:gridCol w:w="9411"/>
      </w:tblGrid>
      <w:tr w:rsidR="00232A7F" w:rsidRPr="00056AB8" w14:paraId="7EBA47B0" w14:textId="77777777" w:rsidTr="00CE45F6">
        <w:tc>
          <w:tcPr>
            <w:tcW w:w="9411" w:type="dxa"/>
            <w:tcBorders>
              <w:bottom w:val="single" w:sz="2" w:space="0" w:color="auto"/>
            </w:tcBorders>
          </w:tcPr>
          <w:p w14:paraId="07A07800" w14:textId="77777777" w:rsidR="00232A7F" w:rsidRPr="00A138E9" w:rsidRDefault="00232A7F" w:rsidP="00CE45F6">
            <w:pPr>
              <w:rPr>
                <w:rFonts w:asciiTheme="majorHAnsi" w:hAnsiTheme="majorHAnsi"/>
                <w:sz w:val="20"/>
                <w:szCs w:val="20"/>
                <w:lang w:val="en-US"/>
              </w:rPr>
            </w:pPr>
            <w:r w:rsidRPr="00A138E9">
              <w:rPr>
                <w:rFonts w:asciiTheme="majorHAnsi" w:hAnsiTheme="majorHAnsi"/>
                <w:sz w:val="20"/>
                <w:szCs w:val="20"/>
                <w:lang w:val="en-US"/>
              </w:rPr>
              <w:t xml:space="preserve">Contact: </w:t>
            </w:r>
          </w:p>
          <w:p w14:paraId="32283BAB" w14:textId="77777777" w:rsidR="00232A7F" w:rsidRPr="00A138E9" w:rsidRDefault="00232A7F" w:rsidP="00CE45F6">
            <w:pPr>
              <w:rPr>
                <w:rFonts w:asciiTheme="majorHAnsi" w:hAnsiTheme="majorHAnsi"/>
                <w:sz w:val="20"/>
                <w:szCs w:val="20"/>
                <w:lang w:val="en-US"/>
              </w:rPr>
            </w:pPr>
            <w:r w:rsidRPr="00A138E9">
              <w:rPr>
                <w:rFonts w:asciiTheme="majorHAnsi" w:hAnsiTheme="majorHAnsi"/>
                <w:sz w:val="20"/>
                <w:szCs w:val="20"/>
                <w:lang w:val="en-US"/>
              </w:rPr>
              <w:t>Claudia Covaci</w:t>
            </w:r>
          </w:p>
          <w:p w14:paraId="4C85D448" w14:textId="77777777" w:rsidR="00232A7F" w:rsidRPr="00A138E9" w:rsidRDefault="00232A7F" w:rsidP="00CE45F6">
            <w:pPr>
              <w:rPr>
                <w:rFonts w:asciiTheme="majorHAnsi" w:hAnsiTheme="majorHAnsi"/>
                <w:sz w:val="20"/>
                <w:szCs w:val="20"/>
                <w:lang w:val="en-US"/>
              </w:rPr>
            </w:pPr>
            <w:r w:rsidRPr="00A138E9">
              <w:rPr>
                <w:rFonts w:asciiTheme="majorHAnsi" w:hAnsiTheme="majorHAnsi"/>
                <w:sz w:val="20"/>
                <w:szCs w:val="20"/>
                <w:lang w:val="en-US"/>
              </w:rPr>
              <w:t>PR Manager</w:t>
            </w:r>
          </w:p>
          <w:p w14:paraId="452D9ABC" w14:textId="77777777" w:rsidR="00232A7F" w:rsidRPr="00A138E9" w:rsidRDefault="00232A7F" w:rsidP="00CE45F6">
            <w:pPr>
              <w:rPr>
                <w:rFonts w:asciiTheme="majorHAnsi" w:hAnsiTheme="majorHAnsi"/>
                <w:sz w:val="20"/>
                <w:szCs w:val="20"/>
                <w:lang w:val="en-US"/>
              </w:rPr>
            </w:pPr>
            <w:r w:rsidRPr="00A138E9">
              <w:rPr>
                <w:rFonts w:asciiTheme="majorHAnsi" w:hAnsiTheme="majorHAnsi"/>
                <w:sz w:val="20"/>
                <w:szCs w:val="20"/>
                <w:lang w:val="en-US"/>
              </w:rPr>
              <w:t>Deloitte Romania</w:t>
            </w:r>
          </w:p>
          <w:p w14:paraId="0195EA34" w14:textId="77777777" w:rsidR="00232A7F" w:rsidRPr="00A138E9" w:rsidRDefault="00232A7F" w:rsidP="00CE45F6">
            <w:pPr>
              <w:rPr>
                <w:rFonts w:asciiTheme="majorHAnsi" w:hAnsiTheme="majorHAnsi"/>
                <w:sz w:val="20"/>
                <w:szCs w:val="20"/>
                <w:lang w:val="en-US"/>
              </w:rPr>
            </w:pPr>
            <w:r w:rsidRPr="00A138E9">
              <w:rPr>
                <w:rFonts w:asciiTheme="majorHAnsi" w:hAnsiTheme="majorHAnsi"/>
                <w:sz w:val="20"/>
                <w:szCs w:val="20"/>
                <w:lang w:val="en-US"/>
              </w:rPr>
              <w:t xml:space="preserve">Tel: +40 723 696 893 </w:t>
            </w:r>
          </w:p>
          <w:p w14:paraId="6F468070" w14:textId="77777777" w:rsidR="00232A7F" w:rsidRPr="00A138E9" w:rsidRDefault="00232A7F" w:rsidP="00CE45F6">
            <w:pPr>
              <w:rPr>
                <w:rFonts w:asciiTheme="majorHAnsi" w:hAnsiTheme="majorHAnsi"/>
                <w:sz w:val="20"/>
                <w:szCs w:val="20"/>
                <w:lang w:val="en-US"/>
              </w:rPr>
            </w:pPr>
            <w:r w:rsidRPr="00A138E9">
              <w:rPr>
                <w:rFonts w:asciiTheme="majorHAnsi" w:hAnsiTheme="majorHAnsi"/>
                <w:sz w:val="20"/>
                <w:szCs w:val="20"/>
                <w:lang w:val="en-US"/>
              </w:rPr>
              <w:t>Email: ccovaci@deloittece.com</w:t>
            </w:r>
          </w:p>
        </w:tc>
      </w:tr>
    </w:tbl>
    <w:p w14:paraId="4B5D322F" w14:textId="77777777" w:rsidR="00232A7F" w:rsidRPr="00A138E9" w:rsidRDefault="00232A7F" w:rsidP="00232A7F">
      <w:pPr>
        <w:rPr>
          <w:rFonts w:asciiTheme="majorHAnsi" w:hAnsiTheme="majorHAnsi"/>
          <w:sz w:val="20"/>
          <w:szCs w:val="20"/>
          <w:lang w:val="en-US"/>
        </w:rPr>
      </w:pPr>
    </w:p>
    <w:tbl>
      <w:tblPr>
        <w:tblStyle w:val="TableGrid"/>
        <w:tblpPr w:leftFromText="181" w:rightFromText="181" w:vertAnchor="page" w:tblpY="568"/>
        <w:tblOverlap w:val="never"/>
        <w:tblW w:w="9701" w:type="dxa"/>
        <w:tblLayout w:type="fixed"/>
        <w:tblCellMar>
          <w:left w:w="0" w:type="dxa"/>
          <w:right w:w="0" w:type="dxa"/>
        </w:tblCellMar>
        <w:tblLook w:val="04A0" w:firstRow="1" w:lastRow="0" w:firstColumn="1" w:lastColumn="0" w:noHBand="0" w:noVBand="1"/>
      </w:tblPr>
      <w:tblGrid>
        <w:gridCol w:w="7541"/>
        <w:gridCol w:w="2160"/>
      </w:tblGrid>
      <w:tr w:rsidR="00232A7F" w:rsidRPr="00056AB8" w14:paraId="7BAB1040" w14:textId="77777777" w:rsidTr="00CE45F6">
        <w:trPr>
          <w:trHeight w:hRule="exact" w:val="1474"/>
        </w:trPr>
        <w:tc>
          <w:tcPr>
            <w:tcW w:w="7541" w:type="dxa"/>
          </w:tcPr>
          <w:p w14:paraId="515B09AB" w14:textId="77777777" w:rsidR="00232A7F" w:rsidRPr="00A138E9" w:rsidRDefault="00314BF4" w:rsidP="00CE45F6">
            <w:pPr>
              <w:rPr>
                <w:rFonts w:asciiTheme="majorHAnsi" w:hAnsiTheme="majorHAnsi"/>
                <w:b/>
                <w:sz w:val="20"/>
                <w:szCs w:val="20"/>
                <w:lang w:val="en-US"/>
              </w:rPr>
            </w:pPr>
            <w:r w:rsidRPr="00A138E9">
              <w:rPr>
                <w:rFonts w:asciiTheme="majorHAnsi" w:hAnsiTheme="majorHAnsi"/>
                <w:b/>
                <w:sz w:val="20"/>
                <w:szCs w:val="20"/>
                <w:lang w:val="en-US"/>
              </w:rPr>
              <w:t>Press Release</w:t>
            </w:r>
          </w:p>
        </w:tc>
        <w:tc>
          <w:tcPr>
            <w:tcW w:w="2160" w:type="dxa"/>
            <w:vMerge w:val="restart"/>
          </w:tcPr>
          <w:p w14:paraId="2C8EC1BC" w14:textId="77777777" w:rsidR="00232A7F" w:rsidRPr="00A138E9" w:rsidRDefault="00232A7F" w:rsidP="00CE45F6">
            <w:pPr>
              <w:pStyle w:val="Deloitteaddress"/>
              <w:rPr>
                <w:rFonts w:asciiTheme="majorHAnsi" w:hAnsiTheme="majorHAnsi"/>
                <w:sz w:val="20"/>
                <w:szCs w:val="20"/>
                <w:lang w:val="en-US"/>
              </w:rPr>
            </w:pPr>
          </w:p>
        </w:tc>
      </w:tr>
      <w:tr w:rsidR="00232A7F" w:rsidRPr="00056AB8" w14:paraId="4EB81001" w14:textId="77777777" w:rsidTr="00CE45F6">
        <w:trPr>
          <w:trHeight w:hRule="exact" w:val="851"/>
        </w:trPr>
        <w:tc>
          <w:tcPr>
            <w:tcW w:w="7541" w:type="dxa"/>
          </w:tcPr>
          <w:p w14:paraId="6C9B67F9" w14:textId="77777777" w:rsidR="00232A7F" w:rsidRPr="00A138E9" w:rsidRDefault="00232A7F" w:rsidP="00CE45F6">
            <w:pPr>
              <w:rPr>
                <w:rFonts w:asciiTheme="majorHAnsi" w:hAnsiTheme="majorHAnsi"/>
                <w:sz w:val="20"/>
                <w:szCs w:val="20"/>
                <w:lang w:val="en-US"/>
              </w:rPr>
            </w:pPr>
          </w:p>
        </w:tc>
        <w:tc>
          <w:tcPr>
            <w:tcW w:w="2160" w:type="dxa"/>
            <w:vMerge/>
          </w:tcPr>
          <w:p w14:paraId="20F0BE0F" w14:textId="77777777" w:rsidR="00232A7F" w:rsidRPr="00A138E9" w:rsidRDefault="00232A7F" w:rsidP="00CE45F6">
            <w:pPr>
              <w:rPr>
                <w:rFonts w:asciiTheme="majorHAnsi" w:hAnsiTheme="majorHAnsi"/>
                <w:sz w:val="20"/>
                <w:szCs w:val="20"/>
                <w:lang w:val="en-US"/>
              </w:rPr>
            </w:pPr>
          </w:p>
        </w:tc>
      </w:tr>
    </w:tbl>
    <w:p w14:paraId="064AC5F1" w14:textId="77777777" w:rsidR="00232A7F" w:rsidRPr="00A138E9" w:rsidRDefault="00232A7F" w:rsidP="00232A7F">
      <w:pPr>
        <w:rPr>
          <w:rFonts w:asciiTheme="majorHAnsi" w:hAnsiTheme="majorHAnsi"/>
          <w:b/>
          <w:sz w:val="24"/>
          <w:szCs w:val="24"/>
          <w:lang w:val="en-US"/>
        </w:rPr>
      </w:pPr>
    </w:p>
    <w:p w14:paraId="7D985E47" w14:textId="39AFD0E5" w:rsidR="00B91515" w:rsidRPr="00A138E9" w:rsidRDefault="00232A7F" w:rsidP="00232A7F">
      <w:pPr>
        <w:rPr>
          <w:rFonts w:ascii="Verdana" w:hAnsi="Verdana" w:cs="Arial"/>
          <w:b/>
          <w:sz w:val="20"/>
          <w:szCs w:val="20"/>
          <w:lang w:val="en-US"/>
        </w:rPr>
      </w:pPr>
      <w:r w:rsidRPr="00A138E9">
        <w:rPr>
          <w:rFonts w:ascii="Verdana" w:hAnsi="Verdana" w:cs="Arial"/>
          <w:b/>
          <w:sz w:val="20"/>
          <w:szCs w:val="20"/>
          <w:lang w:val="en-US"/>
        </w:rPr>
        <w:t>Deloitte</w:t>
      </w:r>
      <w:r w:rsidR="00B91515" w:rsidRPr="00A138E9">
        <w:rPr>
          <w:rFonts w:ascii="Verdana" w:hAnsi="Verdana" w:cs="Arial"/>
          <w:b/>
          <w:sz w:val="20"/>
          <w:szCs w:val="20"/>
          <w:lang w:val="en-US"/>
        </w:rPr>
        <w:t xml:space="preserve"> Report</w:t>
      </w:r>
      <w:r w:rsidRPr="00A138E9">
        <w:rPr>
          <w:rFonts w:ascii="Verdana" w:hAnsi="Verdana" w:cs="Arial"/>
          <w:b/>
          <w:sz w:val="20"/>
          <w:szCs w:val="20"/>
          <w:lang w:val="en-US"/>
        </w:rPr>
        <w:t>: Invest</w:t>
      </w:r>
      <w:r w:rsidR="00B91515" w:rsidRPr="00A138E9">
        <w:rPr>
          <w:rFonts w:ascii="Verdana" w:hAnsi="Verdana" w:cs="Arial"/>
          <w:b/>
          <w:sz w:val="20"/>
          <w:szCs w:val="20"/>
          <w:lang w:val="en-US"/>
        </w:rPr>
        <w:t xml:space="preserve">ments in Black Sea </w:t>
      </w:r>
      <w:r w:rsidR="007C1FBB">
        <w:rPr>
          <w:rFonts w:ascii="Verdana" w:hAnsi="Verdana" w:cs="Arial"/>
          <w:b/>
          <w:sz w:val="20"/>
          <w:szCs w:val="20"/>
          <w:lang w:val="en-US"/>
        </w:rPr>
        <w:t>oil and gas</w:t>
      </w:r>
      <w:r w:rsidR="007C1FBB" w:rsidRPr="00A138E9">
        <w:rPr>
          <w:rFonts w:ascii="Verdana" w:hAnsi="Verdana" w:cs="Arial"/>
          <w:b/>
          <w:sz w:val="20"/>
          <w:szCs w:val="20"/>
          <w:lang w:val="en-US"/>
        </w:rPr>
        <w:t xml:space="preserve"> </w:t>
      </w:r>
      <w:r w:rsidR="00B91515" w:rsidRPr="00A138E9">
        <w:rPr>
          <w:rFonts w:ascii="Verdana" w:hAnsi="Verdana" w:cs="Arial"/>
          <w:b/>
          <w:sz w:val="20"/>
          <w:szCs w:val="20"/>
          <w:lang w:val="en-US"/>
        </w:rPr>
        <w:t xml:space="preserve">sector will bring over 26 billion USD to the state budget </w:t>
      </w:r>
    </w:p>
    <w:p w14:paraId="5965BEAE" w14:textId="77777777" w:rsidR="00232A7F" w:rsidRPr="00A138E9" w:rsidRDefault="00232A7F" w:rsidP="00232A7F">
      <w:pPr>
        <w:rPr>
          <w:rFonts w:asciiTheme="majorHAnsi" w:hAnsiTheme="majorHAnsi"/>
          <w:b/>
          <w:sz w:val="24"/>
          <w:szCs w:val="24"/>
          <w:lang w:val="en-US"/>
        </w:rPr>
      </w:pPr>
    </w:p>
    <w:p w14:paraId="2F5100D7" w14:textId="3F757E63" w:rsidR="00B91515" w:rsidRPr="00A138E9" w:rsidRDefault="00B91515" w:rsidP="00A138E9">
      <w:pPr>
        <w:jc w:val="both"/>
        <w:rPr>
          <w:rFonts w:ascii="Verdana" w:hAnsi="Verdana" w:cs="Arial"/>
          <w:sz w:val="20"/>
          <w:szCs w:val="20"/>
          <w:lang w:val="en-US"/>
        </w:rPr>
      </w:pPr>
      <w:r w:rsidRPr="00A138E9">
        <w:rPr>
          <w:rFonts w:ascii="Verdana" w:hAnsi="Verdana" w:cs="Arial"/>
          <w:b/>
          <w:sz w:val="20"/>
          <w:szCs w:val="20"/>
          <w:lang w:val="en-US"/>
        </w:rPr>
        <w:t>Bucharest</w:t>
      </w:r>
      <w:r w:rsidR="00232A7F" w:rsidRPr="00A138E9">
        <w:rPr>
          <w:rFonts w:ascii="Verdana" w:hAnsi="Verdana" w:cs="Arial"/>
          <w:b/>
          <w:sz w:val="20"/>
          <w:szCs w:val="20"/>
          <w:lang w:val="en-US"/>
        </w:rPr>
        <w:t xml:space="preserve">, 7 </w:t>
      </w:r>
      <w:r w:rsidRPr="00A138E9">
        <w:rPr>
          <w:rFonts w:ascii="Verdana" w:hAnsi="Verdana" w:cs="Arial"/>
          <w:b/>
          <w:sz w:val="20"/>
          <w:szCs w:val="20"/>
          <w:lang w:val="en-US"/>
        </w:rPr>
        <w:t xml:space="preserve">May </w:t>
      </w:r>
      <w:r w:rsidR="00232A7F" w:rsidRPr="00A138E9">
        <w:rPr>
          <w:rFonts w:ascii="Verdana" w:hAnsi="Verdana" w:cs="Arial"/>
          <w:b/>
          <w:sz w:val="20"/>
          <w:szCs w:val="20"/>
          <w:lang w:val="en-US"/>
        </w:rPr>
        <w:t>2018.</w:t>
      </w:r>
      <w:r w:rsidR="00232A7F" w:rsidRPr="00A138E9">
        <w:rPr>
          <w:rFonts w:ascii="Verdana" w:hAnsi="Verdana" w:cs="Arial"/>
          <w:sz w:val="20"/>
          <w:szCs w:val="20"/>
          <w:lang w:val="en-US"/>
        </w:rPr>
        <w:t xml:space="preserve"> Invest</w:t>
      </w:r>
      <w:r w:rsidRPr="00A138E9">
        <w:rPr>
          <w:rFonts w:ascii="Verdana" w:hAnsi="Verdana" w:cs="Arial"/>
          <w:sz w:val="20"/>
          <w:szCs w:val="20"/>
          <w:lang w:val="en-US"/>
        </w:rPr>
        <w:t xml:space="preserve">ments in the Black Sea </w:t>
      </w:r>
      <w:r w:rsidR="00056AB8" w:rsidRPr="00A138E9">
        <w:rPr>
          <w:rFonts w:ascii="Verdana" w:hAnsi="Verdana" w:cs="Arial"/>
          <w:sz w:val="20"/>
          <w:szCs w:val="20"/>
          <w:lang w:val="en-US"/>
        </w:rPr>
        <w:t xml:space="preserve">oil and gas </w:t>
      </w:r>
      <w:r w:rsidRPr="00A138E9">
        <w:rPr>
          <w:rFonts w:ascii="Verdana" w:hAnsi="Verdana" w:cs="Arial"/>
          <w:sz w:val="20"/>
          <w:szCs w:val="20"/>
          <w:lang w:val="en-US"/>
        </w:rPr>
        <w:t xml:space="preserve">sector will generate revenues of over 26 billion USD to the state budget by </w:t>
      </w:r>
      <w:proofErr w:type="gramStart"/>
      <w:r w:rsidRPr="00A138E9">
        <w:rPr>
          <w:rFonts w:ascii="Verdana" w:hAnsi="Verdana" w:cs="Arial"/>
          <w:sz w:val="20"/>
          <w:szCs w:val="20"/>
          <w:lang w:val="en-US"/>
        </w:rPr>
        <w:t>2040,</w:t>
      </w:r>
      <w:proofErr w:type="gramEnd"/>
      <w:r w:rsidRPr="00A138E9">
        <w:rPr>
          <w:rFonts w:ascii="Verdana" w:hAnsi="Verdana" w:cs="Arial"/>
          <w:sz w:val="20"/>
          <w:szCs w:val="20"/>
          <w:lang w:val="en-US"/>
        </w:rPr>
        <w:t xml:space="preserve"> </w:t>
      </w:r>
      <w:r w:rsidR="003E33DC" w:rsidRPr="00A138E9">
        <w:rPr>
          <w:rFonts w:ascii="Verdana" w:hAnsi="Verdana" w:cs="Arial"/>
          <w:sz w:val="20"/>
          <w:szCs w:val="20"/>
          <w:lang w:val="en-US"/>
        </w:rPr>
        <w:t xml:space="preserve">representing </w:t>
      </w:r>
      <w:r w:rsidRPr="00A138E9">
        <w:rPr>
          <w:rFonts w:ascii="Verdana" w:hAnsi="Verdana" w:cs="Arial"/>
          <w:sz w:val="20"/>
          <w:szCs w:val="20"/>
          <w:lang w:val="en-US"/>
        </w:rPr>
        <w:t xml:space="preserve">an additional </w:t>
      </w:r>
      <w:r w:rsidR="00232A7F" w:rsidRPr="00A138E9">
        <w:rPr>
          <w:rFonts w:ascii="Verdana" w:hAnsi="Verdana" w:cs="Arial"/>
          <w:sz w:val="20"/>
          <w:szCs w:val="20"/>
          <w:lang w:val="en-US"/>
        </w:rPr>
        <w:t xml:space="preserve">40 </w:t>
      </w:r>
      <w:r w:rsidRPr="00A138E9">
        <w:rPr>
          <w:rFonts w:ascii="Verdana" w:hAnsi="Verdana" w:cs="Arial"/>
          <w:sz w:val="20"/>
          <w:szCs w:val="20"/>
          <w:lang w:val="en-US"/>
        </w:rPr>
        <w:t xml:space="preserve">billion </w:t>
      </w:r>
      <w:r w:rsidR="00232A7F" w:rsidRPr="00A138E9">
        <w:rPr>
          <w:rFonts w:ascii="Verdana" w:hAnsi="Verdana" w:cs="Arial"/>
          <w:sz w:val="20"/>
          <w:szCs w:val="20"/>
          <w:lang w:val="en-US"/>
        </w:rPr>
        <w:t xml:space="preserve">USD </w:t>
      </w:r>
      <w:r w:rsidRPr="00A138E9">
        <w:rPr>
          <w:rFonts w:ascii="Verdana" w:hAnsi="Verdana" w:cs="Arial"/>
          <w:sz w:val="20"/>
          <w:szCs w:val="20"/>
          <w:lang w:val="en-US"/>
        </w:rPr>
        <w:t xml:space="preserve">to the country’s GDP. </w:t>
      </w:r>
      <w:r w:rsidR="00A138E9">
        <w:rPr>
          <w:rFonts w:ascii="Verdana" w:hAnsi="Verdana" w:cs="Arial"/>
          <w:sz w:val="20"/>
          <w:szCs w:val="20"/>
          <w:lang w:val="en-US"/>
        </w:rPr>
        <w:t>Moreover</w:t>
      </w:r>
      <w:r w:rsidRPr="00A138E9">
        <w:rPr>
          <w:rFonts w:ascii="Verdana" w:hAnsi="Verdana" w:cs="Arial"/>
          <w:sz w:val="20"/>
          <w:szCs w:val="20"/>
          <w:lang w:val="en-US"/>
        </w:rPr>
        <w:t xml:space="preserve">, the impact on the labor market translates into creating </w:t>
      </w:r>
      <w:r w:rsidR="00056AB8" w:rsidRPr="00A138E9">
        <w:rPr>
          <w:rFonts w:ascii="Verdana" w:hAnsi="Verdana" w:cs="Arial"/>
          <w:sz w:val="20"/>
          <w:szCs w:val="20"/>
          <w:lang w:val="en-US"/>
        </w:rPr>
        <w:t xml:space="preserve">and </w:t>
      </w:r>
      <w:r w:rsidR="00056AB8" w:rsidRPr="00056AB8">
        <w:rPr>
          <w:rFonts w:ascii="Verdana" w:hAnsi="Verdana" w:cs="Arial"/>
          <w:sz w:val="20"/>
          <w:szCs w:val="20"/>
          <w:lang w:val="en-US"/>
        </w:rPr>
        <w:t>annually</w:t>
      </w:r>
      <w:r w:rsidR="00056AB8" w:rsidRPr="00A138E9">
        <w:rPr>
          <w:rFonts w:ascii="Verdana" w:hAnsi="Verdana" w:cs="Arial"/>
          <w:sz w:val="20"/>
          <w:szCs w:val="20"/>
          <w:lang w:val="en-US"/>
        </w:rPr>
        <w:t xml:space="preserve"> maintaining </w:t>
      </w:r>
      <w:r w:rsidRPr="00A138E9">
        <w:rPr>
          <w:rFonts w:ascii="Verdana" w:hAnsi="Verdana" w:cs="Arial"/>
          <w:sz w:val="20"/>
          <w:szCs w:val="20"/>
          <w:lang w:val="en-US"/>
        </w:rPr>
        <w:t>an average of over 30,000 jobs.</w:t>
      </w:r>
    </w:p>
    <w:p w14:paraId="5199F399" w14:textId="77777777" w:rsidR="00232A7F" w:rsidRPr="00A138E9" w:rsidRDefault="00232A7F" w:rsidP="007C1FBB">
      <w:pPr>
        <w:spacing w:line="240" w:lineRule="auto"/>
        <w:jc w:val="both"/>
        <w:rPr>
          <w:rFonts w:ascii="Verdana" w:hAnsi="Verdana" w:cs="Arial"/>
          <w:sz w:val="20"/>
          <w:szCs w:val="20"/>
          <w:lang w:val="en-US"/>
        </w:rPr>
      </w:pPr>
    </w:p>
    <w:p w14:paraId="1A2316F7" w14:textId="197E6459" w:rsidR="00232A7F" w:rsidRPr="00A138E9" w:rsidRDefault="00B91515">
      <w:pPr>
        <w:spacing w:line="240" w:lineRule="auto"/>
        <w:jc w:val="both"/>
        <w:rPr>
          <w:rFonts w:ascii="Verdana" w:hAnsi="Verdana" w:cs="Arial"/>
          <w:sz w:val="20"/>
          <w:szCs w:val="20"/>
          <w:lang w:val="en-US"/>
        </w:rPr>
      </w:pPr>
      <w:r w:rsidRPr="00A138E9">
        <w:rPr>
          <w:rFonts w:ascii="Verdana" w:hAnsi="Verdana" w:cs="Arial"/>
          <w:sz w:val="20"/>
          <w:szCs w:val="20"/>
          <w:lang w:val="en-US"/>
        </w:rPr>
        <w:t xml:space="preserve">These conclusions </w:t>
      </w:r>
      <w:proofErr w:type="gramStart"/>
      <w:r w:rsidRPr="00A138E9">
        <w:rPr>
          <w:rFonts w:ascii="Verdana" w:hAnsi="Verdana" w:cs="Arial"/>
          <w:sz w:val="20"/>
          <w:szCs w:val="20"/>
          <w:lang w:val="en-US"/>
        </w:rPr>
        <w:t xml:space="preserve">are </w:t>
      </w:r>
      <w:r w:rsidR="003E33DC" w:rsidRPr="00A138E9">
        <w:rPr>
          <w:rFonts w:ascii="Verdana" w:hAnsi="Verdana" w:cs="Arial"/>
          <w:sz w:val="20"/>
          <w:szCs w:val="20"/>
          <w:lang w:val="en-US"/>
        </w:rPr>
        <w:t>based</w:t>
      </w:r>
      <w:proofErr w:type="gramEnd"/>
      <w:r w:rsidR="003E33DC" w:rsidRPr="00A138E9">
        <w:rPr>
          <w:rFonts w:ascii="Verdana" w:hAnsi="Verdana" w:cs="Arial"/>
          <w:sz w:val="20"/>
          <w:szCs w:val="20"/>
          <w:lang w:val="en-US"/>
        </w:rPr>
        <w:t xml:space="preserve"> on</w:t>
      </w:r>
      <w:r w:rsidRPr="00A138E9">
        <w:rPr>
          <w:rFonts w:ascii="Verdana" w:hAnsi="Verdana" w:cs="Arial"/>
          <w:sz w:val="20"/>
          <w:szCs w:val="20"/>
          <w:lang w:val="en-US"/>
        </w:rPr>
        <w:t xml:space="preserve"> an independent Deloitte Central Europe report </w:t>
      </w:r>
      <w:r w:rsidR="003E33DC" w:rsidRPr="00A138E9">
        <w:rPr>
          <w:rFonts w:ascii="Verdana" w:hAnsi="Verdana" w:cs="Arial"/>
          <w:sz w:val="20"/>
          <w:szCs w:val="20"/>
          <w:lang w:val="en-US"/>
        </w:rPr>
        <w:t xml:space="preserve">entitled </w:t>
      </w:r>
      <w:r w:rsidR="00232A7F" w:rsidRPr="00A138E9">
        <w:rPr>
          <w:rFonts w:ascii="Verdana" w:hAnsi="Verdana" w:cs="Arial"/>
          <w:sz w:val="20"/>
          <w:szCs w:val="20"/>
          <w:lang w:val="en-US"/>
        </w:rPr>
        <w:t>"</w:t>
      </w:r>
      <w:r w:rsidRPr="00A138E9">
        <w:rPr>
          <w:rFonts w:ascii="Verdana" w:hAnsi="Verdana" w:cs="Arial"/>
          <w:sz w:val="20"/>
          <w:szCs w:val="20"/>
          <w:lang w:val="en-US"/>
        </w:rPr>
        <w:t>The contribution of</w:t>
      </w:r>
      <w:r w:rsidR="00056AB8">
        <w:rPr>
          <w:rFonts w:ascii="Verdana" w:hAnsi="Verdana" w:cs="Arial"/>
          <w:sz w:val="20"/>
          <w:szCs w:val="20"/>
          <w:lang w:val="en-US"/>
        </w:rPr>
        <w:t xml:space="preserve"> Black Sea oil and gas projects to the development of the Romanian economy</w:t>
      </w:r>
      <w:r w:rsidR="00232A7F" w:rsidRPr="00A138E9">
        <w:rPr>
          <w:rFonts w:ascii="Verdana" w:hAnsi="Verdana" w:cs="Arial"/>
          <w:sz w:val="20"/>
          <w:szCs w:val="20"/>
          <w:lang w:val="en-US"/>
        </w:rPr>
        <w:t xml:space="preserve">", </w:t>
      </w:r>
      <w:r w:rsidR="003E33DC" w:rsidRPr="00A138E9">
        <w:rPr>
          <w:rFonts w:ascii="Verdana" w:hAnsi="Verdana" w:cs="Arial"/>
          <w:sz w:val="20"/>
          <w:szCs w:val="20"/>
          <w:lang w:val="en-US"/>
        </w:rPr>
        <w:t xml:space="preserve">which was </w:t>
      </w:r>
      <w:r w:rsidRPr="00A138E9">
        <w:rPr>
          <w:rFonts w:ascii="Verdana" w:hAnsi="Verdana" w:cs="Arial"/>
          <w:sz w:val="20"/>
          <w:szCs w:val="20"/>
          <w:lang w:val="en-US"/>
        </w:rPr>
        <w:t>performed at the request of the Romanian Black Sea Titleholders Association</w:t>
      </w:r>
      <w:r w:rsidR="00232A7F" w:rsidRPr="00A138E9">
        <w:rPr>
          <w:rFonts w:ascii="Verdana" w:hAnsi="Verdana" w:cs="Arial"/>
          <w:sz w:val="20"/>
          <w:szCs w:val="20"/>
          <w:lang w:val="en-US"/>
        </w:rPr>
        <w:t xml:space="preserve"> (</w:t>
      </w:r>
      <w:r w:rsidR="00056AB8">
        <w:rPr>
          <w:rFonts w:ascii="Verdana" w:hAnsi="Verdana" w:cs="Arial"/>
          <w:sz w:val="20"/>
          <w:szCs w:val="20"/>
          <w:lang w:val="en-US"/>
        </w:rPr>
        <w:t>RBSTA</w:t>
      </w:r>
      <w:r w:rsidR="00232A7F" w:rsidRPr="00A138E9">
        <w:rPr>
          <w:rFonts w:ascii="Verdana" w:hAnsi="Verdana" w:cs="Arial"/>
          <w:sz w:val="20"/>
          <w:szCs w:val="20"/>
          <w:lang w:val="en-US"/>
        </w:rPr>
        <w:t>).</w:t>
      </w:r>
    </w:p>
    <w:p w14:paraId="4F34C82A" w14:textId="77777777" w:rsidR="00232A7F" w:rsidRPr="00A138E9" w:rsidRDefault="00232A7F">
      <w:pPr>
        <w:spacing w:line="240" w:lineRule="auto"/>
        <w:jc w:val="both"/>
        <w:rPr>
          <w:rFonts w:ascii="Verdana" w:hAnsi="Verdana" w:cs="Arial"/>
          <w:sz w:val="20"/>
          <w:szCs w:val="20"/>
          <w:lang w:val="en-US"/>
        </w:rPr>
      </w:pPr>
    </w:p>
    <w:p w14:paraId="36EFC335" w14:textId="64098415" w:rsidR="00D5032D" w:rsidRPr="00A138E9" w:rsidRDefault="00B91515">
      <w:pPr>
        <w:spacing w:line="240" w:lineRule="auto"/>
        <w:jc w:val="both"/>
        <w:rPr>
          <w:rFonts w:ascii="Verdana" w:hAnsi="Verdana" w:cs="Arial"/>
          <w:sz w:val="20"/>
          <w:szCs w:val="20"/>
          <w:lang w:val="en-US"/>
        </w:rPr>
      </w:pPr>
      <w:r w:rsidRPr="00A138E9">
        <w:rPr>
          <w:rFonts w:ascii="Verdana" w:hAnsi="Verdana" w:cs="Arial"/>
          <w:sz w:val="20"/>
          <w:szCs w:val="20"/>
          <w:lang w:val="en-US"/>
        </w:rPr>
        <w:t xml:space="preserve">The study </w:t>
      </w:r>
      <w:r w:rsidR="00056AB8">
        <w:rPr>
          <w:rFonts w:ascii="Verdana" w:hAnsi="Verdana" w:cs="Arial"/>
          <w:sz w:val="20"/>
          <w:szCs w:val="20"/>
          <w:lang w:val="en-US"/>
        </w:rPr>
        <w:t xml:space="preserve">covers </w:t>
      </w:r>
      <w:r w:rsidRPr="00A138E9">
        <w:rPr>
          <w:rFonts w:ascii="Verdana" w:hAnsi="Verdana" w:cs="Arial"/>
          <w:sz w:val="20"/>
          <w:szCs w:val="20"/>
          <w:lang w:val="en-US"/>
        </w:rPr>
        <w:t>a period of 40 years</w:t>
      </w:r>
      <w:r w:rsidR="00056AB8">
        <w:rPr>
          <w:rFonts w:ascii="Verdana" w:hAnsi="Verdana" w:cs="Arial"/>
          <w:sz w:val="20"/>
          <w:szCs w:val="20"/>
          <w:lang w:val="en-US"/>
        </w:rPr>
        <w:t>,</w:t>
      </w:r>
      <w:r w:rsidRPr="00A138E9">
        <w:rPr>
          <w:rFonts w:ascii="Verdana" w:hAnsi="Verdana" w:cs="Arial"/>
          <w:sz w:val="20"/>
          <w:szCs w:val="20"/>
          <w:lang w:val="en-US"/>
        </w:rPr>
        <w:t xml:space="preserve"> </w:t>
      </w:r>
      <w:r w:rsidR="00426D6B" w:rsidRPr="00A138E9">
        <w:rPr>
          <w:rFonts w:ascii="Verdana" w:hAnsi="Verdana" w:cs="Arial"/>
          <w:sz w:val="20"/>
          <w:szCs w:val="20"/>
          <w:lang w:val="en-US"/>
        </w:rPr>
        <w:t>starting</w:t>
      </w:r>
      <w:r w:rsidRPr="00A138E9">
        <w:rPr>
          <w:rFonts w:ascii="Verdana" w:hAnsi="Verdana" w:cs="Arial"/>
          <w:sz w:val="20"/>
          <w:szCs w:val="20"/>
          <w:lang w:val="en-US"/>
        </w:rPr>
        <w:t xml:space="preserve"> with </w:t>
      </w:r>
      <w:r w:rsidR="00232A7F" w:rsidRPr="00A138E9">
        <w:rPr>
          <w:rFonts w:ascii="Verdana" w:hAnsi="Verdana" w:cs="Arial"/>
          <w:sz w:val="20"/>
          <w:szCs w:val="20"/>
          <w:lang w:val="en-US"/>
        </w:rPr>
        <w:t>2000</w:t>
      </w:r>
      <w:r w:rsidR="00A138E9">
        <w:rPr>
          <w:rFonts w:ascii="Verdana" w:hAnsi="Verdana" w:cs="Arial"/>
          <w:sz w:val="20"/>
          <w:szCs w:val="20"/>
          <w:lang w:val="en-US"/>
        </w:rPr>
        <w:t xml:space="preserve"> and </w:t>
      </w:r>
      <w:r w:rsidRPr="00A138E9">
        <w:rPr>
          <w:rFonts w:ascii="Verdana" w:hAnsi="Verdana" w:cs="Arial"/>
          <w:sz w:val="20"/>
          <w:szCs w:val="20"/>
          <w:lang w:val="en-US"/>
        </w:rPr>
        <w:t xml:space="preserve">data used </w:t>
      </w:r>
      <w:r w:rsidR="00A138E9">
        <w:rPr>
          <w:rFonts w:ascii="Verdana" w:hAnsi="Verdana" w:cs="Arial"/>
          <w:sz w:val="20"/>
          <w:szCs w:val="20"/>
          <w:lang w:val="en-US"/>
        </w:rPr>
        <w:t>for</w:t>
      </w:r>
      <w:r w:rsidR="00A138E9" w:rsidRPr="00A138E9">
        <w:rPr>
          <w:rFonts w:ascii="Verdana" w:hAnsi="Verdana" w:cs="Arial"/>
          <w:sz w:val="20"/>
          <w:szCs w:val="20"/>
          <w:lang w:val="en-US"/>
        </w:rPr>
        <w:t xml:space="preserve"> </w:t>
      </w:r>
      <w:r w:rsidRPr="00A138E9">
        <w:rPr>
          <w:rFonts w:ascii="Verdana" w:hAnsi="Verdana" w:cs="Arial"/>
          <w:sz w:val="20"/>
          <w:szCs w:val="20"/>
          <w:lang w:val="en-US"/>
        </w:rPr>
        <w:t xml:space="preserve">the analysis </w:t>
      </w:r>
      <w:proofErr w:type="gramStart"/>
      <w:r w:rsidR="00056AB8">
        <w:rPr>
          <w:rFonts w:ascii="Verdana" w:hAnsi="Verdana" w:cs="Arial"/>
          <w:sz w:val="20"/>
          <w:szCs w:val="20"/>
          <w:lang w:val="en-US"/>
        </w:rPr>
        <w:t xml:space="preserve">was </w:t>
      </w:r>
      <w:r w:rsidR="007C1FBB">
        <w:rPr>
          <w:rFonts w:ascii="Verdana" w:hAnsi="Verdana" w:cs="Arial"/>
          <w:sz w:val="20"/>
          <w:szCs w:val="20"/>
          <w:lang w:val="en-US"/>
        </w:rPr>
        <w:t>collected</w:t>
      </w:r>
      <w:proofErr w:type="gramEnd"/>
      <w:r w:rsidR="007C1FBB">
        <w:rPr>
          <w:rFonts w:ascii="Verdana" w:hAnsi="Verdana" w:cs="Arial"/>
          <w:sz w:val="20"/>
          <w:szCs w:val="20"/>
          <w:lang w:val="en-US"/>
        </w:rPr>
        <w:t xml:space="preserve"> from publically available sources </w:t>
      </w:r>
      <w:r w:rsidR="007C1FBB" w:rsidRPr="00BB6757">
        <w:rPr>
          <w:rFonts w:ascii="Verdana" w:hAnsi="Verdana" w:cs="Arial"/>
          <w:sz w:val="20"/>
          <w:szCs w:val="20"/>
          <w:lang w:val="en-US"/>
        </w:rPr>
        <w:t>(European</w:t>
      </w:r>
      <w:r w:rsidR="007C1FBB">
        <w:rPr>
          <w:rFonts w:ascii="Verdana" w:hAnsi="Verdana" w:cs="Arial"/>
          <w:sz w:val="20"/>
          <w:szCs w:val="20"/>
          <w:lang w:val="en-US"/>
        </w:rPr>
        <w:t xml:space="preserve"> Commission</w:t>
      </w:r>
      <w:r w:rsidR="007C1FBB" w:rsidRPr="00BB6757">
        <w:rPr>
          <w:rFonts w:ascii="Verdana" w:hAnsi="Verdana" w:cs="Arial"/>
          <w:sz w:val="20"/>
          <w:szCs w:val="20"/>
          <w:lang w:val="en-US"/>
        </w:rPr>
        <w:t xml:space="preserve">, ENTSO-G, </w:t>
      </w:r>
      <w:r w:rsidR="00A138E9">
        <w:rPr>
          <w:rFonts w:ascii="Verdana" w:hAnsi="Verdana" w:cs="Arial"/>
          <w:sz w:val="20"/>
          <w:szCs w:val="20"/>
          <w:lang w:val="en-US"/>
        </w:rPr>
        <w:t>ANRM</w:t>
      </w:r>
      <w:r w:rsidR="007C1FBB" w:rsidRPr="00BB6757">
        <w:rPr>
          <w:rFonts w:ascii="Verdana" w:hAnsi="Verdana" w:cs="Arial"/>
          <w:sz w:val="20"/>
          <w:szCs w:val="20"/>
          <w:lang w:val="en-US"/>
        </w:rPr>
        <w:t xml:space="preserve">, </w:t>
      </w:r>
      <w:r w:rsidR="00A138E9">
        <w:rPr>
          <w:rFonts w:ascii="Verdana" w:hAnsi="Verdana" w:cs="Arial"/>
          <w:sz w:val="20"/>
          <w:szCs w:val="20"/>
          <w:lang w:val="en-US"/>
        </w:rPr>
        <w:t>ANRE</w:t>
      </w:r>
      <w:r w:rsidR="007C1FBB" w:rsidRPr="00BB6757">
        <w:rPr>
          <w:rFonts w:ascii="Verdana" w:hAnsi="Verdana" w:cs="Arial"/>
          <w:sz w:val="20"/>
          <w:szCs w:val="20"/>
          <w:lang w:val="en-US"/>
        </w:rPr>
        <w:t>, etc.)</w:t>
      </w:r>
      <w:r w:rsidR="007C1FBB">
        <w:rPr>
          <w:rFonts w:ascii="Verdana" w:hAnsi="Verdana" w:cs="Arial"/>
          <w:sz w:val="20"/>
          <w:szCs w:val="20"/>
          <w:lang w:val="en-US"/>
        </w:rPr>
        <w:t xml:space="preserve"> and Deloitte’s own data and panel of experts</w:t>
      </w:r>
      <w:r w:rsidR="00D5032D" w:rsidRPr="00A138E9">
        <w:rPr>
          <w:rFonts w:ascii="Verdana" w:hAnsi="Verdana" w:cs="Arial"/>
          <w:sz w:val="20"/>
          <w:szCs w:val="20"/>
          <w:lang w:val="en-US"/>
        </w:rPr>
        <w:t>.</w:t>
      </w:r>
      <w:r w:rsidR="007C1FBB">
        <w:rPr>
          <w:rFonts w:ascii="Verdana" w:hAnsi="Verdana" w:cs="Arial"/>
          <w:sz w:val="20"/>
          <w:szCs w:val="20"/>
          <w:lang w:val="en-US"/>
        </w:rPr>
        <w:t xml:space="preserve"> </w:t>
      </w:r>
      <w:r w:rsidR="00D5032D" w:rsidRPr="00A138E9">
        <w:rPr>
          <w:rFonts w:ascii="Verdana" w:hAnsi="Verdana" w:cs="Arial"/>
          <w:sz w:val="20"/>
          <w:szCs w:val="20"/>
          <w:lang w:val="en-US"/>
        </w:rPr>
        <w:t xml:space="preserve">The forecast is based on Deloitte Central Europe </w:t>
      </w:r>
      <w:r w:rsidR="007C1FBB">
        <w:rPr>
          <w:rFonts w:ascii="Verdana" w:hAnsi="Verdana" w:cs="Arial"/>
          <w:sz w:val="20"/>
          <w:szCs w:val="20"/>
          <w:lang w:val="en-US"/>
        </w:rPr>
        <w:t>assumptions</w:t>
      </w:r>
      <w:r w:rsidR="007C1FBB" w:rsidRPr="00A138E9">
        <w:rPr>
          <w:rFonts w:ascii="Verdana" w:hAnsi="Verdana" w:cs="Arial"/>
          <w:sz w:val="20"/>
          <w:szCs w:val="20"/>
          <w:lang w:val="en-US"/>
        </w:rPr>
        <w:t xml:space="preserve"> </w:t>
      </w:r>
      <w:r w:rsidR="00D5032D" w:rsidRPr="00A138E9">
        <w:rPr>
          <w:rFonts w:ascii="Verdana" w:hAnsi="Verdana" w:cs="Arial"/>
          <w:sz w:val="20"/>
          <w:szCs w:val="20"/>
          <w:lang w:val="en-US"/>
        </w:rPr>
        <w:t>regarding the evol</w:t>
      </w:r>
      <w:r w:rsidR="00EA3C18" w:rsidRPr="00A138E9">
        <w:rPr>
          <w:rFonts w:ascii="Verdana" w:hAnsi="Verdana" w:cs="Arial"/>
          <w:sz w:val="20"/>
          <w:szCs w:val="20"/>
          <w:lang w:val="en-US"/>
        </w:rPr>
        <w:t>u</w:t>
      </w:r>
      <w:r w:rsidR="00D5032D" w:rsidRPr="00A138E9">
        <w:rPr>
          <w:rFonts w:ascii="Verdana" w:hAnsi="Verdana" w:cs="Arial"/>
          <w:sz w:val="20"/>
          <w:szCs w:val="20"/>
          <w:lang w:val="en-US"/>
        </w:rPr>
        <w:t>tion of the Romanian economy</w:t>
      </w:r>
      <w:r w:rsidR="007C1FBB">
        <w:rPr>
          <w:rFonts w:ascii="Verdana" w:hAnsi="Verdana" w:cs="Arial"/>
          <w:sz w:val="20"/>
          <w:szCs w:val="20"/>
          <w:lang w:val="en-US"/>
        </w:rPr>
        <w:t>,</w:t>
      </w:r>
      <w:r w:rsidR="00D5032D" w:rsidRPr="00A138E9">
        <w:rPr>
          <w:rFonts w:ascii="Verdana" w:hAnsi="Verdana" w:cs="Arial"/>
          <w:sz w:val="20"/>
          <w:szCs w:val="20"/>
          <w:lang w:val="en-US"/>
        </w:rPr>
        <w:t xml:space="preserve"> in general</w:t>
      </w:r>
      <w:r w:rsidR="007C1FBB">
        <w:rPr>
          <w:rFonts w:ascii="Verdana" w:hAnsi="Verdana" w:cs="Arial"/>
          <w:sz w:val="20"/>
          <w:szCs w:val="20"/>
          <w:lang w:val="en-US"/>
        </w:rPr>
        <w:t>,</w:t>
      </w:r>
      <w:r w:rsidR="00D5032D" w:rsidRPr="00A138E9">
        <w:rPr>
          <w:rFonts w:ascii="Verdana" w:hAnsi="Verdana" w:cs="Arial"/>
          <w:sz w:val="20"/>
          <w:szCs w:val="20"/>
          <w:lang w:val="en-US"/>
        </w:rPr>
        <w:t xml:space="preserve"> and </w:t>
      </w:r>
      <w:r w:rsidR="006F7988" w:rsidRPr="00A138E9">
        <w:rPr>
          <w:rFonts w:ascii="Verdana" w:hAnsi="Verdana" w:cs="Arial"/>
          <w:sz w:val="20"/>
          <w:szCs w:val="20"/>
          <w:lang w:val="en-US"/>
        </w:rPr>
        <w:t>of</w:t>
      </w:r>
      <w:r w:rsidR="00D5032D" w:rsidRPr="00A138E9">
        <w:rPr>
          <w:rFonts w:ascii="Verdana" w:hAnsi="Verdana" w:cs="Arial"/>
          <w:sz w:val="20"/>
          <w:szCs w:val="20"/>
          <w:lang w:val="en-US"/>
        </w:rPr>
        <w:t xml:space="preserve"> the offshore industry</w:t>
      </w:r>
      <w:r w:rsidR="007C1FBB">
        <w:rPr>
          <w:rFonts w:ascii="Verdana" w:hAnsi="Verdana" w:cs="Arial"/>
          <w:sz w:val="20"/>
          <w:szCs w:val="20"/>
          <w:lang w:val="en-US"/>
        </w:rPr>
        <w:t>,</w:t>
      </w:r>
      <w:r w:rsidR="00D5032D" w:rsidRPr="00A138E9">
        <w:rPr>
          <w:rFonts w:ascii="Verdana" w:hAnsi="Verdana" w:cs="Arial"/>
          <w:sz w:val="20"/>
          <w:szCs w:val="20"/>
          <w:lang w:val="en-US"/>
        </w:rPr>
        <w:t xml:space="preserve"> in particular.</w:t>
      </w:r>
    </w:p>
    <w:p w14:paraId="27209AD4" w14:textId="77777777" w:rsidR="00232A7F" w:rsidRPr="00A138E9" w:rsidRDefault="00232A7F">
      <w:pPr>
        <w:spacing w:line="240" w:lineRule="auto"/>
        <w:jc w:val="both"/>
        <w:rPr>
          <w:rFonts w:ascii="Verdana" w:hAnsi="Verdana" w:cs="Arial"/>
          <w:sz w:val="20"/>
          <w:szCs w:val="20"/>
          <w:lang w:val="en-US"/>
        </w:rPr>
      </w:pPr>
    </w:p>
    <w:p w14:paraId="28E070F0" w14:textId="61E823E5" w:rsidR="00D5032D" w:rsidRPr="00A138E9" w:rsidRDefault="00D5032D">
      <w:pPr>
        <w:spacing w:line="240" w:lineRule="auto"/>
        <w:jc w:val="both"/>
        <w:rPr>
          <w:rFonts w:ascii="Verdana" w:hAnsi="Verdana" w:cs="Arial"/>
          <w:sz w:val="20"/>
          <w:szCs w:val="20"/>
          <w:lang w:val="en-US"/>
        </w:rPr>
      </w:pPr>
      <w:r w:rsidRPr="00A138E9">
        <w:rPr>
          <w:rFonts w:ascii="Verdana" w:hAnsi="Verdana" w:cs="Arial"/>
          <w:sz w:val="20"/>
          <w:szCs w:val="20"/>
          <w:lang w:val="en-US"/>
        </w:rPr>
        <w:t>The report also presents the strategic value of the Black Sea projects</w:t>
      </w:r>
      <w:r w:rsidR="007C1FBB">
        <w:rPr>
          <w:rFonts w:ascii="Verdana" w:hAnsi="Verdana" w:cs="Arial"/>
          <w:sz w:val="20"/>
          <w:szCs w:val="20"/>
          <w:lang w:val="en-US"/>
        </w:rPr>
        <w:t>;</w:t>
      </w:r>
      <w:r w:rsidRPr="00A138E9">
        <w:rPr>
          <w:rFonts w:ascii="Verdana" w:hAnsi="Verdana" w:cs="Arial"/>
          <w:sz w:val="20"/>
          <w:szCs w:val="20"/>
          <w:lang w:val="en-US"/>
        </w:rPr>
        <w:t xml:space="preserve"> </w:t>
      </w:r>
      <w:r w:rsidR="007C1FBB">
        <w:rPr>
          <w:rFonts w:ascii="Verdana" w:hAnsi="Verdana" w:cs="Arial"/>
          <w:sz w:val="20"/>
          <w:szCs w:val="20"/>
          <w:lang w:val="en-US"/>
        </w:rPr>
        <w:t>these</w:t>
      </w:r>
      <w:r w:rsidR="007C1FBB" w:rsidRPr="00A138E9">
        <w:rPr>
          <w:rFonts w:ascii="Verdana" w:hAnsi="Verdana" w:cs="Arial"/>
          <w:sz w:val="20"/>
          <w:szCs w:val="20"/>
          <w:lang w:val="en-US"/>
        </w:rPr>
        <w:t xml:space="preserve"> </w:t>
      </w:r>
      <w:r w:rsidRPr="00A138E9">
        <w:rPr>
          <w:rFonts w:ascii="Verdana" w:hAnsi="Verdana" w:cs="Arial"/>
          <w:sz w:val="20"/>
          <w:szCs w:val="20"/>
          <w:lang w:val="en-US"/>
        </w:rPr>
        <w:t>will enhance Romania’s position in ensuring the regional energy security</w:t>
      </w:r>
      <w:r w:rsidR="00E837F1">
        <w:rPr>
          <w:rFonts w:ascii="Verdana" w:hAnsi="Verdana" w:cs="Arial"/>
          <w:sz w:val="20"/>
          <w:szCs w:val="20"/>
          <w:lang w:val="en-US"/>
        </w:rPr>
        <w:t>,</w:t>
      </w:r>
      <w:r w:rsidRPr="00A138E9">
        <w:rPr>
          <w:rFonts w:ascii="Verdana" w:hAnsi="Verdana" w:cs="Arial"/>
          <w:sz w:val="20"/>
          <w:szCs w:val="20"/>
          <w:lang w:val="en-US"/>
        </w:rPr>
        <w:t xml:space="preserve"> after </w:t>
      </w:r>
      <w:r w:rsidR="00234E32">
        <w:rPr>
          <w:rFonts w:ascii="Verdana" w:hAnsi="Verdana" w:cs="Arial"/>
          <w:sz w:val="20"/>
          <w:szCs w:val="20"/>
          <w:lang w:val="en-US"/>
        </w:rPr>
        <w:t>firstly</w:t>
      </w:r>
      <w:r w:rsidR="00E837F1">
        <w:rPr>
          <w:rFonts w:ascii="Verdana" w:hAnsi="Verdana" w:cs="Arial"/>
          <w:sz w:val="20"/>
          <w:szCs w:val="20"/>
          <w:lang w:val="en-US"/>
        </w:rPr>
        <w:t xml:space="preserve"> </w:t>
      </w:r>
      <w:r w:rsidR="009A1741" w:rsidRPr="00A138E9">
        <w:rPr>
          <w:rFonts w:ascii="Verdana" w:hAnsi="Verdana" w:cs="Arial"/>
          <w:sz w:val="20"/>
          <w:szCs w:val="20"/>
          <w:lang w:val="en-US"/>
        </w:rPr>
        <w:t>securing</w:t>
      </w:r>
      <w:r w:rsidRPr="00A138E9">
        <w:rPr>
          <w:rFonts w:ascii="Verdana" w:hAnsi="Verdana" w:cs="Arial"/>
          <w:sz w:val="20"/>
          <w:szCs w:val="20"/>
          <w:lang w:val="en-US"/>
        </w:rPr>
        <w:t xml:space="preserve"> the </w:t>
      </w:r>
      <w:r w:rsidR="00E837F1">
        <w:rPr>
          <w:rFonts w:ascii="Verdana" w:hAnsi="Verdana" w:cs="Arial"/>
          <w:sz w:val="20"/>
          <w:szCs w:val="20"/>
          <w:lang w:val="en-US"/>
        </w:rPr>
        <w:t>domestic</w:t>
      </w:r>
      <w:r w:rsidR="00E837F1" w:rsidRPr="00A138E9">
        <w:rPr>
          <w:rFonts w:ascii="Verdana" w:hAnsi="Verdana" w:cs="Arial"/>
          <w:sz w:val="20"/>
          <w:szCs w:val="20"/>
          <w:lang w:val="en-US"/>
        </w:rPr>
        <w:t xml:space="preserve"> </w:t>
      </w:r>
      <w:r w:rsidR="00E837F1">
        <w:rPr>
          <w:rFonts w:ascii="Verdana" w:hAnsi="Verdana" w:cs="Arial"/>
          <w:sz w:val="20"/>
          <w:szCs w:val="20"/>
          <w:lang w:val="en-US"/>
        </w:rPr>
        <w:t xml:space="preserve">natural </w:t>
      </w:r>
      <w:r w:rsidRPr="00A138E9">
        <w:rPr>
          <w:rFonts w:ascii="Verdana" w:hAnsi="Verdana" w:cs="Arial"/>
          <w:sz w:val="20"/>
          <w:szCs w:val="20"/>
          <w:lang w:val="en-US"/>
        </w:rPr>
        <w:t xml:space="preserve">gas </w:t>
      </w:r>
      <w:r w:rsidR="00E837F1">
        <w:rPr>
          <w:rFonts w:ascii="Verdana" w:hAnsi="Verdana" w:cs="Arial"/>
          <w:sz w:val="20"/>
          <w:szCs w:val="20"/>
          <w:lang w:val="en-US"/>
        </w:rPr>
        <w:t xml:space="preserve">consumption </w:t>
      </w:r>
      <w:r w:rsidRPr="00A138E9">
        <w:rPr>
          <w:rFonts w:ascii="Verdana" w:hAnsi="Verdana" w:cs="Arial"/>
          <w:sz w:val="20"/>
          <w:szCs w:val="20"/>
          <w:lang w:val="en-US"/>
        </w:rPr>
        <w:t xml:space="preserve">(35% of the production </w:t>
      </w:r>
      <w:r w:rsidR="007C1FBB">
        <w:rPr>
          <w:rFonts w:ascii="Verdana" w:hAnsi="Verdana" w:cs="Arial"/>
          <w:sz w:val="20"/>
          <w:szCs w:val="20"/>
          <w:lang w:val="en-US"/>
        </w:rPr>
        <w:t>from</w:t>
      </w:r>
      <w:r w:rsidR="007C1FBB" w:rsidRPr="00A138E9">
        <w:rPr>
          <w:rFonts w:ascii="Verdana" w:hAnsi="Verdana" w:cs="Arial"/>
          <w:sz w:val="20"/>
          <w:szCs w:val="20"/>
          <w:lang w:val="en-US"/>
        </w:rPr>
        <w:t xml:space="preserve"> </w:t>
      </w:r>
      <w:r w:rsidRPr="00A138E9">
        <w:rPr>
          <w:rFonts w:ascii="Verdana" w:hAnsi="Verdana" w:cs="Arial"/>
          <w:sz w:val="20"/>
          <w:szCs w:val="20"/>
          <w:lang w:val="en-US"/>
        </w:rPr>
        <w:t xml:space="preserve">the </w:t>
      </w:r>
      <w:r w:rsidR="007C1FBB">
        <w:rPr>
          <w:rFonts w:ascii="Verdana" w:hAnsi="Verdana" w:cs="Arial"/>
          <w:sz w:val="20"/>
          <w:szCs w:val="20"/>
          <w:lang w:val="en-US"/>
        </w:rPr>
        <w:t xml:space="preserve">analyzed </w:t>
      </w:r>
      <w:r w:rsidRPr="00A138E9">
        <w:rPr>
          <w:rFonts w:ascii="Verdana" w:hAnsi="Verdana" w:cs="Arial"/>
          <w:sz w:val="20"/>
          <w:szCs w:val="20"/>
          <w:lang w:val="en-US"/>
        </w:rPr>
        <w:t>period</w:t>
      </w:r>
      <w:r w:rsidR="00E84192" w:rsidRPr="00A138E9">
        <w:rPr>
          <w:rFonts w:ascii="Verdana" w:hAnsi="Verdana" w:cs="Arial"/>
          <w:sz w:val="20"/>
          <w:szCs w:val="20"/>
          <w:lang w:val="en-US"/>
        </w:rPr>
        <w:t xml:space="preserve"> </w:t>
      </w:r>
      <w:proofErr w:type="gramStart"/>
      <w:r w:rsidRPr="00A138E9">
        <w:rPr>
          <w:rFonts w:ascii="Verdana" w:hAnsi="Verdana" w:cs="Arial"/>
          <w:sz w:val="20"/>
          <w:szCs w:val="20"/>
          <w:lang w:val="en-US"/>
        </w:rPr>
        <w:t>could be exported</w:t>
      </w:r>
      <w:proofErr w:type="gramEnd"/>
      <w:r w:rsidRPr="00A138E9">
        <w:rPr>
          <w:rFonts w:ascii="Verdana" w:hAnsi="Verdana" w:cs="Arial"/>
          <w:sz w:val="20"/>
          <w:szCs w:val="20"/>
          <w:lang w:val="en-US"/>
        </w:rPr>
        <w:t>, while the</w:t>
      </w:r>
      <w:r w:rsidR="008C03E1" w:rsidRPr="00A138E9">
        <w:rPr>
          <w:rFonts w:ascii="Verdana" w:hAnsi="Verdana" w:cs="Arial"/>
          <w:sz w:val="20"/>
          <w:szCs w:val="20"/>
          <w:lang w:val="en-US"/>
        </w:rPr>
        <w:t xml:space="preserve"> difference would </w:t>
      </w:r>
      <w:r w:rsidR="00A138E9">
        <w:rPr>
          <w:rFonts w:ascii="Verdana" w:hAnsi="Verdana" w:cs="Arial"/>
          <w:sz w:val="20"/>
          <w:szCs w:val="20"/>
          <w:lang w:val="en-US"/>
        </w:rPr>
        <w:t xml:space="preserve">cover </w:t>
      </w:r>
      <w:r w:rsidR="008C03E1" w:rsidRPr="00A138E9">
        <w:rPr>
          <w:rFonts w:ascii="Verdana" w:hAnsi="Verdana" w:cs="Arial"/>
          <w:sz w:val="20"/>
          <w:szCs w:val="20"/>
          <w:lang w:val="en-US"/>
        </w:rPr>
        <w:t>the decl</w:t>
      </w:r>
      <w:r w:rsidRPr="00A138E9">
        <w:rPr>
          <w:rFonts w:ascii="Verdana" w:hAnsi="Verdana" w:cs="Arial"/>
          <w:sz w:val="20"/>
          <w:szCs w:val="20"/>
          <w:lang w:val="en-US"/>
        </w:rPr>
        <w:t>ine in the onshore production</w:t>
      </w:r>
      <w:r w:rsidR="00234E32">
        <w:rPr>
          <w:rFonts w:ascii="Verdana" w:hAnsi="Verdana" w:cs="Arial"/>
          <w:sz w:val="20"/>
          <w:szCs w:val="20"/>
          <w:lang w:val="en-US"/>
        </w:rPr>
        <w:t>,</w:t>
      </w:r>
      <w:r w:rsidRPr="00A138E9">
        <w:rPr>
          <w:rFonts w:ascii="Verdana" w:hAnsi="Verdana" w:cs="Arial"/>
          <w:sz w:val="20"/>
          <w:szCs w:val="20"/>
          <w:lang w:val="en-US"/>
        </w:rPr>
        <w:t xml:space="preserve"> in </w:t>
      </w:r>
      <w:r w:rsidR="00E837F1">
        <w:rPr>
          <w:rFonts w:ascii="Verdana" w:hAnsi="Verdana" w:cs="Arial"/>
          <w:sz w:val="20"/>
          <w:szCs w:val="20"/>
          <w:lang w:val="en-US"/>
        </w:rPr>
        <w:t xml:space="preserve">the context of </w:t>
      </w:r>
      <w:r w:rsidRPr="00A138E9">
        <w:rPr>
          <w:rFonts w:ascii="Verdana" w:hAnsi="Verdana" w:cs="Arial"/>
          <w:sz w:val="20"/>
          <w:szCs w:val="20"/>
          <w:lang w:val="en-US"/>
        </w:rPr>
        <w:t xml:space="preserve">increasing </w:t>
      </w:r>
      <w:r w:rsidR="00234E32">
        <w:rPr>
          <w:rFonts w:ascii="Verdana" w:hAnsi="Verdana" w:cs="Arial"/>
          <w:sz w:val="20"/>
          <w:szCs w:val="20"/>
          <w:lang w:val="en-US"/>
        </w:rPr>
        <w:t>domestic</w:t>
      </w:r>
      <w:r w:rsidR="00234E32" w:rsidRPr="00A138E9">
        <w:rPr>
          <w:rFonts w:ascii="Verdana" w:hAnsi="Verdana" w:cs="Arial"/>
          <w:sz w:val="20"/>
          <w:szCs w:val="20"/>
          <w:lang w:val="en-US"/>
        </w:rPr>
        <w:t xml:space="preserve"> </w:t>
      </w:r>
      <w:r w:rsidRPr="00A138E9">
        <w:rPr>
          <w:rFonts w:ascii="Verdana" w:hAnsi="Verdana" w:cs="Arial"/>
          <w:sz w:val="20"/>
          <w:szCs w:val="20"/>
          <w:lang w:val="en-US"/>
        </w:rPr>
        <w:t>consumption).</w:t>
      </w:r>
    </w:p>
    <w:p w14:paraId="45596A53" w14:textId="77777777" w:rsidR="00D5032D" w:rsidRPr="00A138E9" w:rsidRDefault="00D5032D">
      <w:pPr>
        <w:spacing w:line="240" w:lineRule="auto"/>
        <w:jc w:val="both"/>
        <w:rPr>
          <w:rFonts w:ascii="Verdana" w:hAnsi="Verdana" w:cs="Arial"/>
          <w:sz w:val="20"/>
          <w:szCs w:val="20"/>
          <w:lang w:val="en-US"/>
        </w:rPr>
      </w:pPr>
    </w:p>
    <w:p w14:paraId="1250C267" w14:textId="77777777" w:rsidR="00232A7F" w:rsidRPr="00A138E9" w:rsidRDefault="00D5032D">
      <w:pPr>
        <w:spacing w:line="240" w:lineRule="auto"/>
        <w:jc w:val="both"/>
        <w:rPr>
          <w:rFonts w:ascii="Verdana" w:hAnsi="Verdana" w:cs="Arial"/>
          <w:sz w:val="20"/>
          <w:szCs w:val="20"/>
          <w:lang w:val="en-US"/>
        </w:rPr>
      </w:pPr>
      <w:r w:rsidRPr="00A138E9">
        <w:rPr>
          <w:rFonts w:ascii="Verdana" w:hAnsi="Verdana" w:cs="Arial"/>
          <w:sz w:val="20"/>
          <w:szCs w:val="20"/>
          <w:lang w:val="en-US"/>
        </w:rPr>
        <w:t xml:space="preserve">The impact of the </w:t>
      </w:r>
      <w:r w:rsidR="00232A7F" w:rsidRPr="00A138E9">
        <w:rPr>
          <w:rFonts w:ascii="Verdana" w:hAnsi="Verdana" w:cs="Arial"/>
          <w:sz w:val="20"/>
          <w:szCs w:val="20"/>
          <w:lang w:val="en-US"/>
        </w:rPr>
        <w:t xml:space="preserve">offshore </w:t>
      </w:r>
      <w:r w:rsidRPr="00A138E9">
        <w:rPr>
          <w:rFonts w:ascii="Verdana" w:hAnsi="Verdana" w:cs="Arial"/>
          <w:sz w:val="20"/>
          <w:szCs w:val="20"/>
          <w:lang w:val="en-US"/>
        </w:rPr>
        <w:t xml:space="preserve">production on the Romanian economy </w:t>
      </w:r>
      <w:r w:rsidR="00DF2A6F" w:rsidRPr="00A138E9">
        <w:rPr>
          <w:rFonts w:ascii="Verdana" w:hAnsi="Verdana" w:cs="Arial"/>
          <w:sz w:val="20"/>
          <w:szCs w:val="20"/>
          <w:lang w:val="en-US"/>
        </w:rPr>
        <w:t xml:space="preserve">was </w:t>
      </w:r>
      <w:r w:rsidR="009C01FB">
        <w:rPr>
          <w:rFonts w:ascii="Verdana" w:hAnsi="Verdana" w:cs="Arial"/>
          <w:sz w:val="20"/>
          <w:szCs w:val="20"/>
          <w:lang w:val="en-US"/>
        </w:rPr>
        <w:t>assessed</w:t>
      </w:r>
      <w:r w:rsidR="009C01FB" w:rsidRPr="00A138E9">
        <w:rPr>
          <w:rFonts w:ascii="Verdana" w:hAnsi="Verdana" w:cs="Arial"/>
          <w:sz w:val="20"/>
          <w:szCs w:val="20"/>
          <w:lang w:val="en-US"/>
        </w:rPr>
        <w:t xml:space="preserve"> </w:t>
      </w:r>
      <w:r w:rsidRPr="00A138E9">
        <w:rPr>
          <w:rFonts w:ascii="Verdana" w:hAnsi="Verdana" w:cs="Arial"/>
          <w:sz w:val="20"/>
          <w:szCs w:val="20"/>
          <w:lang w:val="en-US"/>
        </w:rPr>
        <w:t xml:space="preserve">using the </w:t>
      </w:r>
      <w:r w:rsidR="00232A7F" w:rsidRPr="00A138E9">
        <w:rPr>
          <w:rFonts w:ascii="Verdana" w:hAnsi="Verdana" w:cs="Arial"/>
          <w:sz w:val="20"/>
          <w:szCs w:val="20"/>
          <w:lang w:val="en-US"/>
        </w:rPr>
        <w:t>Input-Output</w:t>
      </w:r>
      <w:r w:rsidRPr="00A138E9">
        <w:rPr>
          <w:rFonts w:ascii="Verdana" w:hAnsi="Verdana" w:cs="Arial"/>
          <w:sz w:val="20"/>
          <w:szCs w:val="20"/>
          <w:lang w:val="en-US"/>
        </w:rPr>
        <w:t xml:space="preserve"> model </w:t>
      </w:r>
      <w:r w:rsidR="00DF2A6F" w:rsidRPr="00A138E9">
        <w:rPr>
          <w:rFonts w:ascii="Verdana" w:hAnsi="Verdana" w:cs="Arial"/>
          <w:sz w:val="20"/>
          <w:szCs w:val="20"/>
          <w:lang w:val="en-US"/>
        </w:rPr>
        <w:t>conceived</w:t>
      </w:r>
      <w:r w:rsidR="00232A7F" w:rsidRPr="00A138E9">
        <w:rPr>
          <w:rFonts w:ascii="Verdana" w:hAnsi="Verdana" w:cs="Arial"/>
          <w:sz w:val="20"/>
          <w:szCs w:val="20"/>
          <w:lang w:val="en-US"/>
        </w:rPr>
        <w:t xml:space="preserve"> </w:t>
      </w:r>
      <w:r w:rsidRPr="00A138E9">
        <w:rPr>
          <w:rFonts w:ascii="Verdana" w:hAnsi="Verdana" w:cs="Arial"/>
          <w:sz w:val="20"/>
          <w:szCs w:val="20"/>
          <w:lang w:val="en-US"/>
        </w:rPr>
        <w:t>by</w:t>
      </w:r>
      <w:r w:rsidR="00232A7F" w:rsidRPr="00A138E9">
        <w:rPr>
          <w:rFonts w:ascii="Verdana" w:hAnsi="Verdana" w:cs="Arial"/>
          <w:sz w:val="20"/>
          <w:szCs w:val="20"/>
          <w:lang w:val="en-US"/>
        </w:rPr>
        <w:t xml:space="preserve"> </w:t>
      </w:r>
      <w:r w:rsidRPr="00A138E9">
        <w:rPr>
          <w:rFonts w:ascii="Verdana" w:hAnsi="Verdana" w:cs="Arial"/>
          <w:sz w:val="20"/>
          <w:szCs w:val="20"/>
          <w:lang w:val="en-US"/>
        </w:rPr>
        <w:t xml:space="preserve">US </w:t>
      </w:r>
      <w:r w:rsidR="00232A7F" w:rsidRPr="00A138E9">
        <w:rPr>
          <w:rFonts w:ascii="Verdana" w:hAnsi="Verdana" w:cs="Arial"/>
          <w:sz w:val="20"/>
          <w:szCs w:val="20"/>
          <w:lang w:val="en-US"/>
        </w:rPr>
        <w:t>Nobel</w:t>
      </w:r>
      <w:r w:rsidRPr="00A138E9">
        <w:rPr>
          <w:rFonts w:ascii="Verdana" w:hAnsi="Verdana" w:cs="Arial"/>
          <w:sz w:val="20"/>
          <w:szCs w:val="20"/>
          <w:lang w:val="en-US"/>
        </w:rPr>
        <w:t xml:space="preserve"> Prize </w:t>
      </w:r>
      <w:r w:rsidR="00DF2A6F" w:rsidRPr="00A138E9">
        <w:rPr>
          <w:rFonts w:ascii="Verdana" w:hAnsi="Verdana" w:cs="Arial"/>
          <w:sz w:val="20"/>
          <w:szCs w:val="20"/>
          <w:lang w:val="en-US"/>
        </w:rPr>
        <w:t>winner</w:t>
      </w:r>
      <w:r w:rsidR="00232A7F" w:rsidRPr="00A138E9">
        <w:rPr>
          <w:rFonts w:ascii="Verdana" w:hAnsi="Verdana" w:cs="Arial"/>
          <w:sz w:val="20"/>
          <w:szCs w:val="20"/>
          <w:lang w:val="en-US"/>
        </w:rPr>
        <w:t xml:space="preserve"> </w:t>
      </w:r>
      <w:proofErr w:type="spellStart"/>
      <w:r w:rsidR="00232A7F" w:rsidRPr="00A138E9">
        <w:rPr>
          <w:rFonts w:ascii="Verdana" w:hAnsi="Verdana" w:cs="Arial"/>
          <w:sz w:val="20"/>
          <w:szCs w:val="20"/>
          <w:lang w:val="en-US"/>
        </w:rPr>
        <w:t>Wassily</w:t>
      </w:r>
      <w:proofErr w:type="spellEnd"/>
      <w:r w:rsidR="00232A7F" w:rsidRPr="00A138E9">
        <w:rPr>
          <w:rFonts w:ascii="Verdana" w:hAnsi="Verdana" w:cs="Arial"/>
          <w:sz w:val="20"/>
          <w:szCs w:val="20"/>
          <w:lang w:val="en-US"/>
        </w:rPr>
        <w:t xml:space="preserve"> Leontief.</w:t>
      </w:r>
    </w:p>
    <w:p w14:paraId="3F3EB180" w14:textId="77777777" w:rsidR="00232A7F" w:rsidRPr="00A138E9" w:rsidRDefault="00232A7F">
      <w:pPr>
        <w:spacing w:line="240" w:lineRule="auto"/>
        <w:jc w:val="both"/>
        <w:rPr>
          <w:rFonts w:ascii="Verdana" w:hAnsi="Verdana" w:cs="Arial"/>
          <w:sz w:val="20"/>
          <w:szCs w:val="20"/>
          <w:lang w:val="en-US"/>
        </w:rPr>
      </w:pPr>
    </w:p>
    <w:p w14:paraId="632C4B4C" w14:textId="21B60134" w:rsidR="00232A7F" w:rsidRPr="00A138E9" w:rsidRDefault="00232A7F">
      <w:pPr>
        <w:spacing w:line="240" w:lineRule="auto"/>
        <w:jc w:val="both"/>
        <w:rPr>
          <w:rFonts w:ascii="Verdana" w:hAnsi="Verdana" w:cs="Arial"/>
          <w:sz w:val="20"/>
          <w:szCs w:val="20"/>
          <w:lang w:val="en-US"/>
        </w:rPr>
      </w:pPr>
      <w:r w:rsidRPr="00A138E9">
        <w:rPr>
          <w:rFonts w:ascii="Verdana" w:hAnsi="Verdana" w:cs="Arial"/>
          <w:sz w:val="20"/>
          <w:szCs w:val="20"/>
          <w:lang w:val="en-US"/>
        </w:rPr>
        <w:t>“</w:t>
      </w:r>
      <w:r w:rsidR="00D5032D" w:rsidRPr="00A138E9">
        <w:rPr>
          <w:rFonts w:ascii="Verdana" w:hAnsi="Verdana" w:cs="Arial"/>
          <w:sz w:val="20"/>
          <w:szCs w:val="20"/>
          <w:lang w:val="en-US"/>
        </w:rPr>
        <w:t xml:space="preserve">This new Deloitte impact report offers </w:t>
      </w:r>
      <w:r w:rsidR="009C01FB" w:rsidRPr="009C01FB">
        <w:rPr>
          <w:rFonts w:ascii="Verdana" w:hAnsi="Verdana" w:cs="Arial"/>
          <w:sz w:val="20"/>
          <w:szCs w:val="20"/>
          <w:lang w:val="en-US"/>
        </w:rPr>
        <w:t>a</w:t>
      </w:r>
      <w:r w:rsidR="00D5032D" w:rsidRPr="00A138E9">
        <w:rPr>
          <w:rFonts w:ascii="Verdana" w:hAnsi="Verdana" w:cs="Arial"/>
          <w:sz w:val="20"/>
          <w:szCs w:val="20"/>
          <w:lang w:val="en-US"/>
        </w:rPr>
        <w:t xml:space="preserve"> </w:t>
      </w:r>
      <w:r w:rsidR="009C01FB">
        <w:rPr>
          <w:rFonts w:ascii="Verdana" w:hAnsi="Verdana" w:cs="Arial"/>
          <w:sz w:val="20"/>
          <w:szCs w:val="20"/>
          <w:lang w:val="en-US"/>
        </w:rPr>
        <w:t>radiography</w:t>
      </w:r>
      <w:r w:rsidR="00D5032D" w:rsidRPr="00A138E9">
        <w:rPr>
          <w:rFonts w:ascii="Verdana" w:hAnsi="Verdana" w:cs="Arial"/>
          <w:sz w:val="20"/>
          <w:szCs w:val="20"/>
          <w:lang w:val="en-US"/>
        </w:rPr>
        <w:t xml:space="preserve"> of the economic activities at the Black Sea</w:t>
      </w:r>
      <w:r w:rsidR="009C01FB">
        <w:rPr>
          <w:rFonts w:ascii="Verdana" w:hAnsi="Verdana" w:cs="Arial"/>
          <w:sz w:val="20"/>
          <w:szCs w:val="20"/>
          <w:lang w:val="en-US"/>
        </w:rPr>
        <w:t xml:space="preserve">, </w:t>
      </w:r>
      <w:r w:rsidR="00DF2A6F" w:rsidRPr="00A138E9">
        <w:rPr>
          <w:rFonts w:ascii="Verdana" w:hAnsi="Verdana" w:cs="Arial"/>
          <w:sz w:val="20"/>
          <w:szCs w:val="20"/>
          <w:lang w:val="en-US"/>
        </w:rPr>
        <w:t>which</w:t>
      </w:r>
      <w:r w:rsidR="00D5032D" w:rsidRPr="00A138E9">
        <w:rPr>
          <w:rFonts w:ascii="Verdana" w:hAnsi="Verdana" w:cs="Arial"/>
          <w:sz w:val="20"/>
          <w:szCs w:val="20"/>
          <w:lang w:val="en-US"/>
        </w:rPr>
        <w:t xml:space="preserve"> we hope </w:t>
      </w:r>
      <w:r w:rsidR="00DF2A6F" w:rsidRPr="00A138E9">
        <w:rPr>
          <w:rFonts w:ascii="Verdana" w:hAnsi="Verdana" w:cs="Arial"/>
          <w:sz w:val="20"/>
          <w:szCs w:val="20"/>
          <w:lang w:val="en-US"/>
        </w:rPr>
        <w:t>to</w:t>
      </w:r>
      <w:r w:rsidR="009C01FB">
        <w:rPr>
          <w:rFonts w:ascii="Verdana" w:hAnsi="Verdana" w:cs="Arial"/>
          <w:sz w:val="20"/>
          <w:szCs w:val="20"/>
          <w:lang w:val="en-US"/>
        </w:rPr>
        <w:t xml:space="preserve"> contribute to the </w:t>
      </w:r>
      <w:r w:rsidR="00D5032D" w:rsidRPr="00A138E9">
        <w:rPr>
          <w:rFonts w:ascii="Verdana" w:hAnsi="Verdana" w:cs="Arial"/>
          <w:sz w:val="20"/>
          <w:szCs w:val="20"/>
          <w:lang w:val="en-US"/>
        </w:rPr>
        <w:t xml:space="preserve">understanding </w:t>
      </w:r>
      <w:r w:rsidR="009C01FB">
        <w:rPr>
          <w:rFonts w:ascii="Verdana" w:hAnsi="Verdana" w:cs="Arial"/>
          <w:sz w:val="20"/>
          <w:szCs w:val="20"/>
          <w:lang w:val="en-US"/>
        </w:rPr>
        <w:t xml:space="preserve">of </w:t>
      </w:r>
      <w:r w:rsidR="00D5032D" w:rsidRPr="00A138E9">
        <w:rPr>
          <w:rFonts w:ascii="Verdana" w:hAnsi="Verdana" w:cs="Arial"/>
          <w:sz w:val="20"/>
          <w:szCs w:val="20"/>
          <w:lang w:val="en-US"/>
        </w:rPr>
        <w:t>the importance of developing such investments</w:t>
      </w:r>
      <w:r w:rsidRPr="00A138E9">
        <w:rPr>
          <w:rFonts w:ascii="Verdana" w:hAnsi="Verdana" w:cs="Arial"/>
          <w:sz w:val="20"/>
          <w:szCs w:val="20"/>
          <w:lang w:val="en-US"/>
        </w:rPr>
        <w:t xml:space="preserve">”, </w:t>
      </w:r>
      <w:r w:rsidR="00D5032D" w:rsidRPr="00A138E9">
        <w:rPr>
          <w:rFonts w:ascii="Verdana" w:hAnsi="Verdana" w:cs="Arial"/>
          <w:sz w:val="20"/>
          <w:szCs w:val="20"/>
          <w:lang w:val="en-US"/>
        </w:rPr>
        <w:t>said Dinu Bumba</w:t>
      </w:r>
      <w:r w:rsidRPr="00A138E9">
        <w:rPr>
          <w:rFonts w:ascii="Verdana" w:hAnsi="Verdana" w:cs="Arial"/>
          <w:sz w:val="20"/>
          <w:szCs w:val="20"/>
          <w:lang w:val="en-US"/>
        </w:rPr>
        <w:t>cea</w:t>
      </w:r>
      <w:r w:rsidR="00D5032D" w:rsidRPr="00A138E9">
        <w:rPr>
          <w:rFonts w:ascii="Verdana" w:hAnsi="Verdana" w:cs="Arial"/>
          <w:sz w:val="20"/>
          <w:szCs w:val="20"/>
          <w:lang w:val="en-US"/>
        </w:rPr>
        <w:t>, Partner-in-Charge</w:t>
      </w:r>
      <w:r w:rsidRPr="00A138E9">
        <w:rPr>
          <w:rFonts w:ascii="Verdana" w:hAnsi="Verdana" w:cs="Arial"/>
          <w:sz w:val="20"/>
          <w:szCs w:val="20"/>
          <w:lang w:val="en-US"/>
        </w:rPr>
        <w:t xml:space="preserve"> </w:t>
      </w:r>
      <w:r w:rsidR="00D5032D" w:rsidRPr="00A138E9">
        <w:rPr>
          <w:rFonts w:ascii="Verdana" w:hAnsi="Verdana" w:cs="Arial"/>
          <w:sz w:val="20"/>
          <w:szCs w:val="20"/>
          <w:lang w:val="en-US"/>
        </w:rPr>
        <w:t>Deloitte Consulting</w:t>
      </w:r>
      <w:r w:rsidRPr="00A138E9">
        <w:rPr>
          <w:rFonts w:ascii="Verdana" w:hAnsi="Verdana" w:cs="Arial"/>
          <w:sz w:val="20"/>
          <w:szCs w:val="20"/>
          <w:lang w:val="en-US"/>
        </w:rPr>
        <w:t>.</w:t>
      </w:r>
    </w:p>
    <w:p w14:paraId="35518D9C" w14:textId="77777777" w:rsidR="00232A7F" w:rsidRPr="00A138E9" w:rsidRDefault="00232A7F">
      <w:pPr>
        <w:spacing w:line="240" w:lineRule="auto"/>
        <w:jc w:val="both"/>
        <w:rPr>
          <w:rFonts w:ascii="Verdana" w:hAnsi="Verdana" w:cs="Arial"/>
          <w:sz w:val="20"/>
          <w:szCs w:val="20"/>
          <w:lang w:val="en-US"/>
        </w:rPr>
      </w:pPr>
    </w:p>
    <w:p w14:paraId="14B25BD6" w14:textId="77777777" w:rsidR="00B56F78" w:rsidRPr="00A138E9" w:rsidRDefault="00D5032D">
      <w:pPr>
        <w:spacing w:line="240" w:lineRule="auto"/>
        <w:jc w:val="both"/>
        <w:rPr>
          <w:rFonts w:ascii="Verdana" w:hAnsi="Verdana" w:cs="Arial"/>
          <w:sz w:val="20"/>
          <w:szCs w:val="20"/>
          <w:lang w:val="en-US"/>
        </w:rPr>
      </w:pPr>
      <w:r w:rsidRPr="00A138E9">
        <w:rPr>
          <w:rFonts w:ascii="Verdana" w:hAnsi="Verdana" w:cs="Arial"/>
          <w:sz w:val="20"/>
          <w:szCs w:val="20"/>
          <w:lang w:val="en-US"/>
        </w:rPr>
        <w:t xml:space="preserve">The Deloitte team involved in the project who </w:t>
      </w:r>
      <w:proofErr w:type="gramStart"/>
      <w:r w:rsidRPr="00A138E9">
        <w:rPr>
          <w:rFonts w:ascii="Verdana" w:hAnsi="Verdana" w:cs="Arial"/>
          <w:sz w:val="20"/>
          <w:szCs w:val="20"/>
          <w:lang w:val="en-US"/>
        </w:rPr>
        <w:t>was selected</w:t>
      </w:r>
      <w:proofErr w:type="gramEnd"/>
      <w:r w:rsidRPr="00A138E9">
        <w:rPr>
          <w:rFonts w:ascii="Verdana" w:hAnsi="Verdana" w:cs="Arial"/>
          <w:sz w:val="20"/>
          <w:szCs w:val="20"/>
          <w:lang w:val="en-US"/>
        </w:rPr>
        <w:t xml:space="preserve"> based on a competitive process, included Romanian and Polish experts with a </w:t>
      </w:r>
      <w:r w:rsidR="009C01FB">
        <w:rPr>
          <w:rFonts w:ascii="Verdana" w:hAnsi="Verdana" w:cs="Arial"/>
          <w:sz w:val="20"/>
          <w:szCs w:val="20"/>
          <w:lang w:val="en-US"/>
        </w:rPr>
        <w:t>vast</w:t>
      </w:r>
      <w:r w:rsidR="009C01FB" w:rsidRPr="00A138E9">
        <w:rPr>
          <w:rFonts w:ascii="Verdana" w:hAnsi="Verdana" w:cs="Arial"/>
          <w:sz w:val="20"/>
          <w:szCs w:val="20"/>
          <w:lang w:val="en-US"/>
        </w:rPr>
        <w:t xml:space="preserve"> </w:t>
      </w:r>
      <w:r w:rsidRPr="00A138E9">
        <w:rPr>
          <w:rFonts w:ascii="Verdana" w:hAnsi="Verdana" w:cs="Arial"/>
          <w:sz w:val="20"/>
          <w:szCs w:val="20"/>
          <w:lang w:val="en-US"/>
        </w:rPr>
        <w:t>experience</w:t>
      </w:r>
      <w:r w:rsidR="00232A7F" w:rsidRPr="00A138E9">
        <w:rPr>
          <w:rFonts w:ascii="Verdana" w:hAnsi="Verdana" w:cs="Arial"/>
          <w:sz w:val="20"/>
          <w:szCs w:val="20"/>
          <w:lang w:val="en-US"/>
        </w:rPr>
        <w:t xml:space="preserve"> </w:t>
      </w:r>
      <w:r w:rsidRPr="00A138E9">
        <w:rPr>
          <w:rFonts w:ascii="Verdana" w:hAnsi="Verdana" w:cs="Arial"/>
          <w:sz w:val="20"/>
          <w:szCs w:val="20"/>
          <w:lang w:val="en-US"/>
        </w:rPr>
        <w:t>in using this model, and was coord</w:t>
      </w:r>
      <w:r w:rsidR="004F608E" w:rsidRPr="00A138E9">
        <w:rPr>
          <w:rFonts w:ascii="Verdana" w:hAnsi="Verdana" w:cs="Arial"/>
          <w:sz w:val="20"/>
          <w:szCs w:val="20"/>
          <w:lang w:val="en-US"/>
        </w:rPr>
        <w:t>i</w:t>
      </w:r>
      <w:r w:rsidRPr="00A138E9">
        <w:rPr>
          <w:rFonts w:ascii="Verdana" w:hAnsi="Verdana" w:cs="Arial"/>
          <w:sz w:val="20"/>
          <w:szCs w:val="20"/>
          <w:lang w:val="en-US"/>
        </w:rPr>
        <w:t xml:space="preserve">nated by Dinu Bumbacea and Irena </w:t>
      </w:r>
      <w:r w:rsidR="00232A7F" w:rsidRPr="00A138E9">
        <w:rPr>
          <w:rFonts w:ascii="Verdana" w:hAnsi="Verdana" w:cs="Arial"/>
          <w:sz w:val="20"/>
          <w:szCs w:val="20"/>
          <w:lang w:val="en-US"/>
        </w:rPr>
        <w:t xml:space="preserve">Pichola - Leader </w:t>
      </w:r>
      <w:r w:rsidR="00B56F78" w:rsidRPr="00A138E9">
        <w:rPr>
          <w:rFonts w:ascii="Verdana" w:hAnsi="Verdana" w:cs="Arial"/>
          <w:sz w:val="20"/>
          <w:szCs w:val="20"/>
          <w:lang w:val="en-US"/>
        </w:rPr>
        <w:t xml:space="preserve">of Deloitte Central Europe Sustainability Practice. The methodology used represents </w:t>
      </w:r>
      <w:r w:rsidR="0079073B" w:rsidRPr="00A138E9">
        <w:rPr>
          <w:rFonts w:ascii="Verdana" w:hAnsi="Verdana" w:cs="Arial"/>
          <w:sz w:val="20"/>
          <w:szCs w:val="20"/>
          <w:lang w:val="en-US"/>
        </w:rPr>
        <w:t>a</w:t>
      </w:r>
      <w:r w:rsidR="00B56F78" w:rsidRPr="00A138E9">
        <w:rPr>
          <w:rFonts w:ascii="Verdana" w:hAnsi="Verdana" w:cs="Arial"/>
          <w:sz w:val="20"/>
          <w:szCs w:val="20"/>
          <w:lang w:val="en-US"/>
        </w:rPr>
        <w:t xml:space="preserve"> well</w:t>
      </w:r>
      <w:r w:rsidR="00344563" w:rsidRPr="00A138E9">
        <w:rPr>
          <w:rFonts w:ascii="Verdana" w:hAnsi="Verdana" w:cs="Arial"/>
          <w:sz w:val="20"/>
          <w:szCs w:val="20"/>
          <w:lang w:val="en-US"/>
        </w:rPr>
        <w:t>-</w:t>
      </w:r>
      <w:r w:rsidR="00B56F78" w:rsidRPr="00A138E9">
        <w:rPr>
          <w:rFonts w:ascii="Verdana" w:hAnsi="Verdana" w:cs="Arial"/>
          <w:sz w:val="20"/>
          <w:szCs w:val="20"/>
          <w:lang w:val="en-US"/>
        </w:rPr>
        <w:t xml:space="preserve">known approach </w:t>
      </w:r>
      <w:r w:rsidR="0079073B" w:rsidRPr="00A138E9">
        <w:rPr>
          <w:rFonts w:ascii="Verdana" w:hAnsi="Verdana" w:cs="Arial"/>
          <w:sz w:val="20"/>
          <w:szCs w:val="20"/>
          <w:lang w:val="en-US"/>
        </w:rPr>
        <w:t xml:space="preserve">that </w:t>
      </w:r>
      <w:r w:rsidR="009C01FB">
        <w:rPr>
          <w:rFonts w:ascii="Verdana" w:hAnsi="Verdana" w:cs="Arial"/>
          <w:sz w:val="20"/>
          <w:szCs w:val="20"/>
          <w:lang w:val="en-US"/>
        </w:rPr>
        <w:t>assesses</w:t>
      </w:r>
      <w:r w:rsidR="00B56F78" w:rsidRPr="00A138E9">
        <w:rPr>
          <w:rFonts w:ascii="Verdana" w:hAnsi="Verdana" w:cs="Arial"/>
          <w:sz w:val="20"/>
          <w:szCs w:val="20"/>
          <w:lang w:val="en-US"/>
        </w:rPr>
        <w:t xml:space="preserve"> the impact o</w:t>
      </w:r>
      <w:r w:rsidR="009C01FB">
        <w:rPr>
          <w:rFonts w:ascii="Verdana" w:hAnsi="Verdana" w:cs="Arial"/>
          <w:sz w:val="20"/>
          <w:szCs w:val="20"/>
          <w:lang w:val="en-US"/>
        </w:rPr>
        <w:t>f</w:t>
      </w:r>
      <w:r w:rsidR="0079073B" w:rsidRPr="00A138E9">
        <w:rPr>
          <w:rFonts w:ascii="Verdana" w:hAnsi="Verdana" w:cs="Arial"/>
          <w:sz w:val="20"/>
          <w:szCs w:val="20"/>
          <w:lang w:val="en-US"/>
        </w:rPr>
        <w:t xml:space="preserve"> a</w:t>
      </w:r>
      <w:r w:rsidR="00B56F78" w:rsidRPr="00A138E9">
        <w:rPr>
          <w:rFonts w:ascii="Verdana" w:hAnsi="Verdana" w:cs="Arial"/>
          <w:sz w:val="20"/>
          <w:szCs w:val="20"/>
          <w:lang w:val="en-US"/>
        </w:rPr>
        <w:t xml:space="preserve"> </w:t>
      </w:r>
      <w:r w:rsidR="0079073B" w:rsidRPr="00A138E9">
        <w:rPr>
          <w:rFonts w:ascii="Verdana" w:hAnsi="Verdana" w:cs="Arial"/>
          <w:sz w:val="20"/>
          <w:szCs w:val="20"/>
          <w:lang w:val="en-US"/>
        </w:rPr>
        <w:t>certain</w:t>
      </w:r>
      <w:r w:rsidR="00B56F78" w:rsidRPr="00A138E9">
        <w:rPr>
          <w:rFonts w:ascii="Verdana" w:hAnsi="Verdana" w:cs="Arial"/>
          <w:sz w:val="20"/>
          <w:szCs w:val="20"/>
          <w:lang w:val="en-US"/>
        </w:rPr>
        <w:t xml:space="preserve"> industry on the economic environment, o</w:t>
      </w:r>
      <w:r w:rsidR="009C01FB">
        <w:rPr>
          <w:rFonts w:ascii="Verdana" w:hAnsi="Verdana" w:cs="Arial"/>
          <w:sz w:val="20"/>
          <w:szCs w:val="20"/>
          <w:lang w:val="en-US"/>
        </w:rPr>
        <w:t>f</w:t>
      </w:r>
      <w:r w:rsidR="00B56F78" w:rsidRPr="00A138E9">
        <w:rPr>
          <w:rFonts w:ascii="Verdana" w:hAnsi="Verdana" w:cs="Arial"/>
          <w:sz w:val="20"/>
          <w:szCs w:val="20"/>
          <w:lang w:val="en-US"/>
        </w:rPr>
        <w:t xml:space="preserve"> providers and sub-</w:t>
      </w:r>
      <w:r w:rsidR="00B56F78" w:rsidRPr="00A138E9">
        <w:rPr>
          <w:rFonts w:ascii="Verdana" w:hAnsi="Verdana" w:cs="Arial"/>
          <w:sz w:val="20"/>
          <w:szCs w:val="20"/>
          <w:lang w:val="en-US"/>
        </w:rPr>
        <w:lastRenderedPageBreak/>
        <w:t xml:space="preserve">contractors from various sectors of the economy as well as the </w:t>
      </w:r>
      <w:r w:rsidR="00274E10" w:rsidRPr="00A138E9">
        <w:rPr>
          <w:rFonts w:ascii="Verdana" w:hAnsi="Verdana" w:cs="Arial"/>
          <w:sz w:val="20"/>
          <w:szCs w:val="20"/>
          <w:lang w:val="en-US"/>
        </w:rPr>
        <w:t>impetus</w:t>
      </w:r>
      <w:r w:rsidR="00B56F78" w:rsidRPr="00A138E9">
        <w:rPr>
          <w:rFonts w:ascii="Verdana" w:hAnsi="Verdana" w:cs="Arial"/>
          <w:sz w:val="20"/>
          <w:szCs w:val="20"/>
          <w:lang w:val="en-US"/>
        </w:rPr>
        <w:t xml:space="preserve"> generated by </w:t>
      </w:r>
      <w:r w:rsidR="00274E10" w:rsidRPr="00A138E9">
        <w:rPr>
          <w:rFonts w:ascii="Verdana" w:hAnsi="Verdana" w:cs="Arial"/>
          <w:sz w:val="20"/>
          <w:szCs w:val="20"/>
          <w:lang w:val="en-US"/>
        </w:rPr>
        <w:t xml:space="preserve">the </w:t>
      </w:r>
      <w:r w:rsidR="00B56F78" w:rsidRPr="00A138E9">
        <w:rPr>
          <w:rFonts w:ascii="Verdana" w:hAnsi="Verdana" w:cs="Arial"/>
          <w:sz w:val="20"/>
          <w:szCs w:val="20"/>
          <w:lang w:val="en-US"/>
        </w:rPr>
        <w:t>remuneration of employees, which contribute to the economic growth.</w:t>
      </w:r>
    </w:p>
    <w:p w14:paraId="1979E322" w14:textId="77777777" w:rsidR="00232A7F" w:rsidRPr="00A138E9" w:rsidRDefault="00232A7F">
      <w:pPr>
        <w:jc w:val="both"/>
        <w:rPr>
          <w:rFonts w:ascii="Verdana" w:hAnsi="Verdana" w:cs="Arial"/>
          <w:sz w:val="20"/>
          <w:szCs w:val="20"/>
          <w:lang w:val="en-US"/>
        </w:rPr>
      </w:pPr>
    </w:p>
    <w:p w14:paraId="740B4047" w14:textId="5F592E9E" w:rsidR="00232A7F" w:rsidRPr="00A138E9" w:rsidRDefault="00B56F78" w:rsidP="00A138E9">
      <w:pPr>
        <w:jc w:val="both"/>
        <w:rPr>
          <w:lang w:val="en-US"/>
        </w:rPr>
      </w:pPr>
      <w:r w:rsidRPr="00A138E9">
        <w:rPr>
          <w:rFonts w:ascii="Verdana" w:hAnsi="Verdana" w:cs="Arial"/>
          <w:sz w:val="20"/>
          <w:szCs w:val="20"/>
          <w:lang w:val="en-US"/>
        </w:rPr>
        <w:t>To read the full report please access</w:t>
      </w:r>
      <w:r w:rsidR="00232A7F" w:rsidRPr="00A138E9">
        <w:rPr>
          <w:rFonts w:ascii="Verdana" w:hAnsi="Verdana" w:cs="Arial"/>
          <w:sz w:val="20"/>
          <w:szCs w:val="20"/>
          <w:lang w:val="en-US"/>
        </w:rPr>
        <w:t xml:space="preserve"> </w:t>
      </w:r>
      <w:hyperlink r:id="rId8" w:history="1">
        <w:r w:rsidR="00232A7F" w:rsidRPr="003D3264">
          <w:rPr>
            <w:rStyle w:val="Hyperlink"/>
            <w:rFonts w:ascii="Verdana" w:hAnsi="Verdana" w:cs="Arial"/>
            <w:sz w:val="20"/>
            <w:szCs w:val="20"/>
            <w:lang w:val="en-US"/>
          </w:rPr>
          <w:t>link</w:t>
        </w:r>
      </w:hyperlink>
      <w:bookmarkStart w:id="0" w:name="_GoBack"/>
      <w:bookmarkEnd w:id="0"/>
      <w:r w:rsidR="00232A7F" w:rsidRPr="00A138E9">
        <w:rPr>
          <w:rFonts w:ascii="Verdana" w:hAnsi="Verdana" w:cs="Arial"/>
          <w:sz w:val="20"/>
          <w:szCs w:val="20"/>
          <w:lang w:val="en-US"/>
        </w:rPr>
        <w:t>.</w:t>
      </w:r>
    </w:p>
    <w:p w14:paraId="6EADD515" w14:textId="77777777" w:rsidR="00232A7F" w:rsidRPr="00A138E9" w:rsidRDefault="00232A7F" w:rsidP="00232A7F">
      <w:pPr>
        <w:spacing w:line="240" w:lineRule="auto"/>
        <w:jc w:val="both"/>
        <w:rPr>
          <w:rFonts w:asciiTheme="majorHAnsi" w:hAnsiTheme="majorHAnsi"/>
          <w:sz w:val="16"/>
          <w:szCs w:val="20"/>
          <w:lang w:val="en-US"/>
        </w:rPr>
      </w:pPr>
    </w:p>
    <w:p w14:paraId="1DD4790C" w14:textId="77777777" w:rsidR="00232A7F" w:rsidRPr="00A138E9" w:rsidRDefault="00232A7F" w:rsidP="00232A7F">
      <w:pPr>
        <w:jc w:val="both"/>
        <w:rPr>
          <w:rFonts w:asciiTheme="majorHAnsi" w:hAnsiTheme="majorHAnsi"/>
          <w:sz w:val="20"/>
          <w:szCs w:val="20"/>
          <w:lang w:val="en-US"/>
        </w:rPr>
      </w:pPr>
    </w:p>
    <w:p w14:paraId="7B3482EB" w14:textId="77777777" w:rsidR="004D28D6" w:rsidRPr="00A138E9" w:rsidRDefault="004D28D6" w:rsidP="004D28D6">
      <w:pPr>
        <w:rPr>
          <w:rFonts w:ascii="Verdana" w:hAnsi="Verdana"/>
          <w:lang w:val="en-US"/>
        </w:rPr>
      </w:pPr>
    </w:p>
    <w:p w14:paraId="288F6F1A" w14:textId="77777777" w:rsidR="001E3618" w:rsidRPr="00056AB8" w:rsidRDefault="001E3618" w:rsidP="00571AAA">
      <w:pPr>
        <w:pStyle w:val="BodyText"/>
        <w:jc w:val="center"/>
        <w:rPr>
          <w:rFonts w:asciiTheme="majorHAnsi" w:hAnsiTheme="majorHAnsi"/>
          <w:sz w:val="16"/>
          <w:szCs w:val="20"/>
          <w:lang w:val="en-US"/>
        </w:rPr>
      </w:pPr>
      <w:r w:rsidRPr="00056AB8">
        <w:rPr>
          <w:rFonts w:asciiTheme="majorHAnsi" w:hAnsiTheme="majorHAnsi"/>
          <w:b w:val="0"/>
          <w:sz w:val="20"/>
          <w:szCs w:val="20"/>
          <w:lang w:val="en-US"/>
        </w:rPr>
        <w:t>###</w:t>
      </w:r>
    </w:p>
    <w:p w14:paraId="21A60A7E" w14:textId="77777777" w:rsidR="00392AAF" w:rsidRPr="00056AB8" w:rsidRDefault="00392AAF" w:rsidP="00AC2393">
      <w:pPr>
        <w:spacing w:line="240" w:lineRule="auto"/>
        <w:jc w:val="both"/>
        <w:rPr>
          <w:rFonts w:asciiTheme="majorHAnsi" w:eastAsia="Times New Roman" w:hAnsiTheme="majorHAnsi" w:cs="Times New Roman"/>
          <w:sz w:val="16"/>
          <w:szCs w:val="20"/>
          <w:lang w:val="en-US"/>
        </w:rPr>
      </w:pPr>
    </w:p>
    <w:p w14:paraId="79ED59A3" w14:textId="77777777" w:rsidR="00392AAF" w:rsidRPr="00056AB8" w:rsidRDefault="00392AAF" w:rsidP="00392AAF">
      <w:pPr>
        <w:spacing w:line="240" w:lineRule="auto"/>
        <w:rPr>
          <w:lang w:val="en-US"/>
        </w:rPr>
      </w:pPr>
    </w:p>
    <w:p w14:paraId="2194C890" w14:textId="77777777" w:rsidR="00C67173" w:rsidRPr="00A138E9" w:rsidRDefault="00C67173" w:rsidP="00C67173">
      <w:pPr>
        <w:spacing w:line="240" w:lineRule="auto"/>
        <w:rPr>
          <w:b/>
          <w:bCs/>
          <w:sz w:val="16"/>
          <w:szCs w:val="16"/>
          <w:lang w:val="en-US"/>
        </w:rPr>
      </w:pPr>
      <w:r w:rsidRPr="00A138E9">
        <w:rPr>
          <w:b/>
          <w:bCs/>
          <w:sz w:val="16"/>
          <w:szCs w:val="16"/>
          <w:lang w:val="en-US"/>
        </w:rPr>
        <w:t>About Deloitte in Romania</w:t>
      </w:r>
    </w:p>
    <w:p w14:paraId="63DF0A03" w14:textId="77777777" w:rsidR="00C67173" w:rsidRPr="00A138E9" w:rsidRDefault="00C67173" w:rsidP="00C67173">
      <w:pPr>
        <w:spacing w:line="240" w:lineRule="auto"/>
        <w:rPr>
          <w:b/>
          <w:bCs/>
          <w:sz w:val="16"/>
          <w:szCs w:val="16"/>
          <w:lang w:val="en-US"/>
        </w:rPr>
      </w:pPr>
    </w:p>
    <w:p w14:paraId="7E8FFCC9" w14:textId="77777777" w:rsidR="00C67173" w:rsidRPr="00A138E9" w:rsidRDefault="00C67173" w:rsidP="00C67173">
      <w:pPr>
        <w:spacing w:line="240" w:lineRule="auto"/>
        <w:rPr>
          <w:bCs/>
          <w:sz w:val="16"/>
          <w:szCs w:val="16"/>
          <w:lang w:val="en-US"/>
        </w:rPr>
      </w:pPr>
      <w:r w:rsidRPr="00A138E9">
        <w:rPr>
          <w:bCs/>
          <w:sz w:val="16"/>
          <w:szCs w:val="16"/>
          <w:lang w:val="en-US"/>
        </w:rPr>
        <w:t xml:space="preserve">In Romania, the services are provided or supported by Deloitte Audit SRL, Deloitte Tax SRL, Deloitte </w:t>
      </w:r>
      <w:proofErr w:type="spellStart"/>
      <w:r w:rsidRPr="00A138E9">
        <w:rPr>
          <w:bCs/>
          <w:sz w:val="16"/>
          <w:szCs w:val="16"/>
          <w:lang w:val="en-US"/>
        </w:rPr>
        <w:t>Consultanta</w:t>
      </w:r>
      <w:proofErr w:type="spellEnd"/>
      <w:r w:rsidRPr="00A138E9">
        <w:rPr>
          <w:bCs/>
          <w:sz w:val="16"/>
          <w:szCs w:val="16"/>
          <w:lang w:val="en-US"/>
        </w:rPr>
        <w:t xml:space="preserve"> SRL, Deloitte Fiscal Representative SRL, Deloitte </w:t>
      </w:r>
      <w:proofErr w:type="spellStart"/>
      <w:r w:rsidRPr="00A138E9">
        <w:rPr>
          <w:bCs/>
          <w:sz w:val="16"/>
          <w:szCs w:val="16"/>
          <w:lang w:val="en-US"/>
        </w:rPr>
        <w:t>Tehnologie</w:t>
      </w:r>
      <w:proofErr w:type="spellEnd"/>
      <w:r w:rsidRPr="00A138E9">
        <w:rPr>
          <w:bCs/>
          <w:sz w:val="16"/>
          <w:szCs w:val="16"/>
          <w:lang w:val="en-US"/>
        </w:rPr>
        <w:t xml:space="preserve"> SRL, Deloitte GES Support Services SRL and Deloitte Shared Services SRL. Deloitte is one of the leading professional services organizations in Romania providing, in cooperation with Reff &amp; Associates, services in audit, tax, legal, consulting, financial advisory, risk advisory, business processes and technology services and other related services with more than 1100 professionals. Please see </w:t>
      </w:r>
      <w:hyperlink r:id="rId9" w:history="1">
        <w:r w:rsidRPr="00A138E9">
          <w:rPr>
            <w:rStyle w:val="Hyperlink"/>
            <w:sz w:val="16"/>
            <w:szCs w:val="16"/>
            <w:lang w:val="en-US"/>
          </w:rPr>
          <w:t>www.deloitte.com/ro/about</w:t>
        </w:r>
      </w:hyperlink>
      <w:r w:rsidRPr="00A138E9">
        <w:rPr>
          <w:bCs/>
          <w:sz w:val="16"/>
          <w:szCs w:val="16"/>
          <w:lang w:val="en-US"/>
        </w:rPr>
        <w:t xml:space="preserve"> to learn more about our global network of member firms.</w:t>
      </w:r>
    </w:p>
    <w:p w14:paraId="74E1BA34" w14:textId="77777777" w:rsidR="00C67173" w:rsidRPr="00A138E9" w:rsidRDefault="00C67173" w:rsidP="00C67173">
      <w:pPr>
        <w:spacing w:line="240" w:lineRule="auto"/>
        <w:rPr>
          <w:bCs/>
          <w:sz w:val="16"/>
          <w:szCs w:val="16"/>
          <w:lang w:val="en-US"/>
        </w:rPr>
      </w:pPr>
    </w:p>
    <w:p w14:paraId="12B16197" w14:textId="77777777" w:rsidR="00C67173" w:rsidRPr="00A138E9" w:rsidRDefault="00C67173" w:rsidP="00C67173">
      <w:pPr>
        <w:spacing w:line="240" w:lineRule="auto"/>
        <w:rPr>
          <w:sz w:val="16"/>
          <w:szCs w:val="16"/>
          <w:lang w:val="en-US"/>
        </w:rPr>
      </w:pPr>
      <w:r w:rsidRPr="00A138E9">
        <w:rPr>
          <w:sz w:val="16"/>
          <w:szCs w:val="16"/>
          <w:lang w:val="en-US"/>
        </w:rPr>
        <w:t>© 2018. For information, contact Deloitte Romania</w:t>
      </w:r>
    </w:p>
    <w:p w14:paraId="39F9ABB5" w14:textId="77777777" w:rsidR="00C67173" w:rsidRPr="00A138E9" w:rsidRDefault="00C67173" w:rsidP="00C67173">
      <w:pPr>
        <w:spacing w:before="120" w:line="252" w:lineRule="auto"/>
        <w:jc w:val="both"/>
        <w:rPr>
          <w:sz w:val="20"/>
          <w:szCs w:val="20"/>
          <w:lang w:val="en-US"/>
        </w:rPr>
      </w:pPr>
    </w:p>
    <w:p w14:paraId="3A3D0E07" w14:textId="77777777" w:rsidR="00C67173" w:rsidRPr="00056AB8" w:rsidRDefault="00C67173" w:rsidP="00392AAF">
      <w:pPr>
        <w:spacing w:line="240" w:lineRule="auto"/>
        <w:rPr>
          <w:lang w:val="en-US"/>
        </w:rPr>
      </w:pPr>
    </w:p>
    <w:p w14:paraId="53500320" w14:textId="77777777" w:rsidR="00392AAF" w:rsidRPr="00056AB8" w:rsidRDefault="00392AAF" w:rsidP="00AC2393">
      <w:pPr>
        <w:spacing w:line="240" w:lineRule="auto"/>
        <w:jc w:val="both"/>
        <w:rPr>
          <w:rFonts w:asciiTheme="majorHAnsi" w:hAnsiTheme="majorHAnsi"/>
          <w:sz w:val="16"/>
          <w:szCs w:val="20"/>
          <w:lang w:val="en-US"/>
        </w:rPr>
      </w:pPr>
    </w:p>
    <w:sectPr w:rsidR="00392AAF" w:rsidRPr="00056AB8" w:rsidSect="00384272">
      <w:headerReference w:type="default" r:id="rId10"/>
      <w:footerReference w:type="default" r:id="rId11"/>
      <w:headerReference w:type="first" r:id="rId12"/>
      <w:footerReference w:type="first" r:id="rId13"/>
      <w:pgSz w:w="11906" w:h="16838" w:code="9"/>
      <w:pgMar w:top="2722" w:right="1247" w:bottom="1134" w:left="1247"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62A82" w14:textId="77777777" w:rsidR="00A05F60" w:rsidRDefault="00A05F60" w:rsidP="00C702C7">
      <w:pPr>
        <w:spacing w:line="240" w:lineRule="auto"/>
      </w:pPr>
      <w:r>
        <w:separator/>
      </w:r>
    </w:p>
  </w:endnote>
  <w:endnote w:type="continuationSeparator" w:id="0">
    <w:p w14:paraId="350E6565" w14:textId="77777777" w:rsidR="00A05F60" w:rsidRDefault="00A05F60" w:rsidP="00C70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51"/>
    <w:family w:val="auto"/>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88A12" w14:textId="77777777" w:rsidR="00F15F5C" w:rsidRDefault="00F15F5C" w:rsidP="0079305A">
    <w:pPr>
      <w:pStyle w:val="Footer"/>
      <w:tabs>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625DB" w14:textId="77777777" w:rsidR="00130C96" w:rsidRDefault="00130C96" w:rsidP="00130C96">
    <w:pPr>
      <w:pStyle w:val="Footer"/>
      <w:rPr>
        <w:lang w:val="ro-RO"/>
      </w:rPr>
    </w:pPr>
    <w:r w:rsidRPr="004936F7">
      <w:rPr>
        <w:lang w:val="ro-RO"/>
      </w:rPr>
      <w:t xml:space="preserve">Numele Deloitte se referă la organizația Deloitte Touche Tohmatsu Limited (“DTTL”), o companie cu răspundere limitată din Marea Britanie, rețeaua globală de firme membre și persoanele juridice afiliate acestora. DTTL și firmele sale membre sunt entități juridice separate și independente. DTTL (numit în continuare și "Deloitte Global") nu furnizează servicii către clienți. Pentru a afla mai multe despre rețeaua globală a firmelor membre, vă rugăm să accesați </w:t>
    </w:r>
    <w:hyperlink r:id="rId1" w:history="1">
      <w:r w:rsidRPr="00453EE2">
        <w:rPr>
          <w:rStyle w:val="Hyperlink"/>
          <w:lang w:val="ro-RO"/>
        </w:rPr>
        <w:t>www.deloitte.com/ro/despre</w:t>
      </w:r>
    </w:hyperlink>
    <w:r w:rsidRPr="004936F7">
      <w:rPr>
        <w:lang w:val="ro-RO"/>
      </w:rPr>
      <w:t>.</w:t>
    </w:r>
  </w:p>
  <w:p w14:paraId="1E871821" w14:textId="77777777" w:rsidR="00130C96" w:rsidRDefault="00130C96" w:rsidP="00130C96">
    <w:pPr>
      <w:pStyle w:val="Footer"/>
      <w:rPr>
        <w:lang w:val="ro-RO"/>
      </w:rPr>
    </w:pPr>
  </w:p>
  <w:p w14:paraId="3FB56E19" w14:textId="77777777" w:rsidR="00130C96" w:rsidRPr="004936F7" w:rsidRDefault="00130C96" w:rsidP="00130C96">
    <w:pPr>
      <w:pStyle w:val="Footer"/>
      <w:rPr>
        <w:lang w:val="ro-RO"/>
      </w:rPr>
    </w:pPr>
  </w:p>
  <w:p w14:paraId="2E4D9332" w14:textId="77777777" w:rsidR="00130C96" w:rsidRPr="00130C96" w:rsidRDefault="00130C96" w:rsidP="00130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12394" w14:textId="77777777" w:rsidR="00A05F60" w:rsidRDefault="00A05F60" w:rsidP="00C702C7">
      <w:pPr>
        <w:spacing w:line="240" w:lineRule="auto"/>
      </w:pPr>
      <w:r>
        <w:separator/>
      </w:r>
    </w:p>
  </w:footnote>
  <w:footnote w:type="continuationSeparator" w:id="0">
    <w:p w14:paraId="4BA6E65B" w14:textId="77777777" w:rsidR="00A05F60" w:rsidRDefault="00A05F60" w:rsidP="00C702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A350" w14:textId="77777777" w:rsidR="00C91E9C" w:rsidRDefault="00C91E9C">
    <w:pPr>
      <w:pStyle w:val="Header"/>
    </w:pPr>
    <w:r>
      <w:rPr>
        <w:noProof/>
        <w:lang w:val="en-US"/>
      </w:rPr>
      <w:drawing>
        <wp:anchor distT="0" distB="0" distL="114300" distR="114300" simplePos="0" relativeHeight="251660288" behindDoc="0" locked="1" layoutInCell="1" allowOverlap="1" wp14:anchorId="6DDB41EA" wp14:editId="0F7CA526">
          <wp:simplePos x="0" y="0"/>
          <wp:positionH relativeFrom="page">
            <wp:posOffset>791845</wp:posOffset>
          </wp:positionH>
          <wp:positionV relativeFrom="page">
            <wp:posOffset>360045</wp:posOffset>
          </wp:positionV>
          <wp:extent cx="1152000" cy="216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oitte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21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E8F6" w14:textId="77777777" w:rsidR="002823F1" w:rsidRDefault="000A53E2">
    <w:pPr>
      <w:pStyle w:val="Header"/>
    </w:pPr>
    <w:r>
      <w:rPr>
        <w:noProof/>
        <w:lang w:val="en-US"/>
      </w:rPr>
      <w:drawing>
        <wp:anchor distT="0" distB="0" distL="114300" distR="114300" simplePos="0" relativeHeight="251658240" behindDoc="0" locked="1" layoutInCell="1" allowOverlap="1" wp14:anchorId="3BD84F17" wp14:editId="745EE63E">
          <wp:simplePos x="0" y="0"/>
          <wp:positionH relativeFrom="page">
            <wp:posOffset>791845</wp:posOffset>
          </wp:positionH>
          <wp:positionV relativeFrom="page">
            <wp:posOffset>360045</wp:posOffset>
          </wp:positionV>
          <wp:extent cx="1872000" cy="349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oitte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34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9D42924"/>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44C6DCC4"/>
    <w:lvl w:ilvl="0">
      <w:start w:val="1"/>
      <w:numFmt w:val="bullet"/>
      <w:pStyle w:val="ListBullet2"/>
      <w:lvlText w:val="‒"/>
      <w:lvlJc w:val="left"/>
      <w:pPr>
        <w:ind w:left="587" w:hanging="360"/>
      </w:pPr>
      <w:rPr>
        <w:rFonts w:ascii="Calibri" w:hAnsi="Calibri" w:hint="default"/>
      </w:rPr>
    </w:lvl>
  </w:abstractNum>
  <w:abstractNum w:abstractNumId="2" w15:restartNumberingAfterBreak="0">
    <w:nsid w:val="FFFFFF88"/>
    <w:multiLevelType w:val="singleLevel"/>
    <w:tmpl w:val="F716B3D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616CC85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33E1A"/>
    <w:multiLevelType w:val="hybridMultilevel"/>
    <w:tmpl w:val="F2DEC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9"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pStyle w:val="Heading3"/>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3A3A1E"/>
    <w:multiLevelType w:val="hybridMultilevel"/>
    <w:tmpl w:val="CA84AC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4"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6"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 w:numId="5">
    <w:abstractNumId w:val="10"/>
  </w:num>
  <w:num w:numId="6">
    <w:abstractNumId w:val="15"/>
  </w:num>
  <w:num w:numId="7">
    <w:abstractNumId w:val="15"/>
    <w:lvlOverride w:ilvl="0">
      <w:startOverride w:val="1"/>
    </w:lvlOverride>
  </w:num>
  <w:num w:numId="8">
    <w:abstractNumId w:val="13"/>
  </w:num>
  <w:num w:numId="9">
    <w:abstractNumId w:val="14"/>
  </w:num>
  <w:num w:numId="10">
    <w:abstractNumId w:val="7"/>
  </w:num>
  <w:num w:numId="11">
    <w:abstractNumId w:val="8"/>
  </w:num>
  <w:num w:numId="12">
    <w:abstractNumId w:val="16"/>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9"/>
  </w:num>
  <w:num w:numId="17">
    <w:abstractNumId w:val="11"/>
  </w:num>
  <w:num w:numId="18">
    <w:abstractNumId w:val="5"/>
  </w:num>
  <w:num w:numId="19">
    <w:abstractNumId w:val="6"/>
  </w:num>
  <w:num w:numId="20">
    <w:abstractNumId w:val="1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FB9"/>
    <w:rsid w:val="000005FE"/>
    <w:rsid w:val="000016E7"/>
    <w:rsid w:val="000060BF"/>
    <w:rsid w:val="00010491"/>
    <w:rsid w:val="00011A9C"/>
    <w:rsid w:val="000131A3"/>
    <w:rsid w:val="000133CB"/>
    <w:rsid w:val="00014B89"/>
    <w:rsid w:val="00016B38"/>
    <w:rsid w:val="00021A39"/>
    <w:rsid w:val="00021B82"/>
    <w:rsid w:val="00022977"/>
    <w:rsid w:val="00023753"/>
    <w:rsid w:val="00025063"/>
    <w:rsid w:val="00025E7D"/>
    <w:rsid w:val="00035237"/>
    <w:rsid w:val="00036486"/>
    <w:rsid w:val="00037C17"/>
    <w:rsid w:val="0004031D"/>
    <w:rsid w:val="000429AC"/>
    <w:rsid w:val="00042B6A"/>
    <w:rsid w:val="00042B99"/>
    <w:rsid w:val="000447C1"/>
    <w:rsid w:val="000457E5"/>
    <w:rsid w:val="00056AB8"/>
    <w:rsid w:val="00056E5E"/>
    <w:rsid w:val="0006231C"/>
    <w:rsid w:val="000634BE"/>
    <w:rsid w:val="000637A6"/>
    <w:rsid w:val="000647C1"/>
    <w:rsid w:val="00066BBA"/>
    <w:rsid w:val="00067F74"/>
    <w:rsid w:val="0007044B"/>
    <w:rsid w:val="00071509"/>
    <w:rsid w:val="00075526"/>
    <w:rsid w:val="00076393"/>
    <w:rsid w:val="00076F6A"/>
    <w:rsid w:val="00080790"/>
    <w:rsid w:val="00082ACF"/>
    <w:rsid w:val="00083DD5"/>
    <w:rsid w:val="00091AE0"/>
    <w:rsid w:val="000A53E2"/>
    <w:rsid w:val="000A78B2"/>
    <w:rsid w:val="000B003D"/>
    <w:rsid w:val="000B40BF"/>
    <w:rsid w:val="000B609C"/>
    <w:rsid w:val="000B6B85"/>
    <w:rsid w:val="000B7D0A"/>
    <w:rsid w:val="000C20BD"/>
    <w:rsid w:val="000C5029"/>
    <w:rsid w:val="000C5EA5"/>
    <w:rsid w:val="000C6428"/>
    <w:rsid w:val="000D2CC7"/>
    <w:rsid w:val="000D2DE0"/>
    <w:rsid w:val="000D4161"/>
    <w:rsid w:val="000D4600"/>
    <w:rsid w:val="000D5B64"/>
    <w:rsid w:val="000E1A4F"/>
    <w:rsid w:val="000E560C"/>
    <w:rsid w:val="000F30DF"/>
    <w:rsid w:val="000F4250"/>
    <w:rsid w:val="000F5C22"/>
    <w:rsid w:val="001013CF"/>
    <w:rsid w:val="001032BB"/>
    <w:rsid w:val="0010462B"/>
    <w:rsid w:val="00116A4A"/>
    <w:rsid w:val="00123415"/>
    <w:rsid w:val="00123AD3"/>
    <w:rsid w:val="00124FA9"/>
    <w:rsid w:val="001256EC"/>
    <w:rsid w:val="00130191"/>
    <w:rsid w:val="00130C96"/>
    <w:rsid w:val="001312E9"/>
    <w:rsid w:val="001430F2"/>
    <w:rsid w:val="00144607"/>
    <w:rsid w:val="001606F5"/>
    <w:rsid w:val="00163617"/>
    <w:rsid w:val="0016525C"/>
    <w:rsid w:val="00166099"/>
    <w:rsid w:val="001708B9"/>
    <w:rsid w:val="00171CA0"/>
    <w:rsid w:val="0017280D"/>
    <w:rsid w:val="001757CE"/>
    <w:rsid w:val="00180BDA"/>
    <w:rsid w:val="0018108F"/>
    <w:rsid w:val="0018382F"/>
    <w:rsid w:val="00183E37"/>
    <w:rsid w:val="00185FA2"/>
    <w:rsid w:val="00186A52"/>
    <w:rsid w:val="00186FC8"/>
    <w:rsid w:val="00192ECA"/>
    <w:rsid w:val="001975EF"/>
    <w:rsid w:val="0019765A"/>
    <w:rsid w:val="0019798B"/>
    <w:rsid w:val="001A45CF"/>
    <w:rsid w:val="001B5C19"/>
    <w:rsid w:val="001D03A7"/>
    <w:rsid w:val="001D7490"/>
    <w:rsid w:val="001E3618"/>
    <w:rsid w:val="001E3FB9"/>
    <w:rsid w:val="001E4564"/>
    <w:rsid w:val="001E7D3E"/>
    <w:rsid w:val="001F10F2"/>
    <w:rsid w:val="001F2E21"/>
    <w:rsid w:val="001F357F"/>
    <w:rsid w:val="001F61B8"/>
    <w:rsid w:val="0021485D"/>
    <w:rsid w:val="002154F3"/>
    <w:rsid w:val="0021617A"/>
    <w:rsid w:val="00216CF6"/>
    <w:rsid w:val="00220CCF"/>
    <w:rsid w:val="00221BC7"/>
    <w:rsid w:val="00225556"/>
    <w:rsid w:val="00225E0E"/>
    <w:rsid w:val="0023167E"/>
    <w:rsid w:val="00231B44"/>
    <w:rsid w:val="00232A7F"/>
    <w:rsid w:val="00234034"/>
    <w:rsid w:val="002340B6"/>
    <w:rsid w:val="00234BA2"/>
    <w:rsid w:val="00234E32"/>
    <w:rsid w:val="002358BB"/>
    <w:rsid w:val="00235E99"/>
    <w:rsid w:val="00244B15"/>
    <w:rsid w:val="00246914"/>
    <w:rsid w:val="00253D2A"/>
    <w:rsid w:val="00253DD3"/>
    <w:rsid w:val="00255D53"/>
    <w:rsid w:val="0026345D"/>
    <w:rsid w:val="00264EED"/>
    <w:rsid w:val="00274E10"/>
    <w:rsid w:val="00276006"/>
    <w:rsid w:val="0028101D"/>
    <w:rsid w:val="002823F1"/>
    <w:rsid w:val="00286319"/>
    <w:rsid w:val="00291EC5"/>
    <w:rsid w:val="00292969"/>
    <w:rsid w:val="00297214"/>
    <w:rsid w:val="002A1E50"/>
    <w:rsid w:val="002A254F"/>
    <w:rsid w:val="002A5DF0"/>
    <w:rsid w:val="002B2126"/>
    <w:rsid w:val="002B3396"/>
    <w:rsid w:val="002C02A8"/>
    <w:rsid w:val="002C049A"/>
    <w:rsid w:val="002C5FEA"/>
    <w:rsid w:val="002C690A"/>
    <w:rsid w:val="002C7628"/>
    <w:rsid w:val="002D040D"/>
    <w:rsid w:val="002D0468"/>
    <w:rsid w:val="002D417A"/>
    <w:rsid w:val="002D41F7"/>
    <w:rsid w:val="002D5F41"/>
    <w:rsid w:val="002D63AD"/>
    <w:rsid w:val="002D7038"/>
    <w:rsid w:val="002D7C35"/>
    <w:rsid w:val="002D7DEB"/>
    <w:rsid w:val="002E1C00"/>
    <w:rsid w:val="002E2629"/>
    <w:rsid w:val="002E2DEF"/>
    <w:rsid w:val="002E350C"/>
    <w:rsid w:val="002E38B8"/>
    <w:rsid w:val="002E4858"/>
    <w:rsid w:val="002E7099"/>
    <w:rsid w:val="002F181E"/>
    <w:rsid w:val="002F2771"/>
    <w:rsid w:val="002F2F7B"/>
    <w:rsid w:val="002F5562"/>
    <w:rsid w:val="002F7491"/>
    <w:rsid w:val="003120D9"/>
    <w:rsid w:val="003121C1"/>
    <w:rsid w:val="00312561"/>
    <w:rsid w:val="00314BF4"/>
    <w:rsid w:val="00315C83"/>
    <w:rsid w:val="0031796E"/>
    <w:rsid w:val="00317ABD"/>
    <w:rsid w:val="0032211E"/>
    <w:rsid w:val="003221B4"/>
    <w:rsid w:val="00322DFA"/>
    <w:rsid w:val="0032373B"/>
    <w:rsid w:val="00333049"/>
    <w:rsid w:val="003370A8"/>
    <w:rsid w:val="00337680"/>
    <w:rsid w:val="0034040A"/>
    <w:rsid w:val="0034140E"/>
    <w:rsid w:val="00343D8C"/>
    <w:rsid w:val="00344563"/>
    <w:rsid w:val="00350B56"/>
    <w:rsid w:val="0035583C"/>
    <w:rsid w:val="00357E4F"/>
    <w:rsid w:val="003709B0"/>
    <w:rsid w:val="003741A9"/>
    <w:rsid w:val="00374EAE"/>
    <w:rsid w:val="00375B48"/>
    <w:rsid w:val="00375EB8"/>
    <w:rsid w:val="00377AE4"/>
    <w:rsid w:val="00380E3E"/>
    <w:rsid w:val="00382B34"/>
    <w:rsid w:val="00384272"/>
    <w:rsid w:val="003863C7"/>
    <w:rsid w:val="0039181B"/>
    <w:rsid w:val="00392AAF"/>
    <w:rsid w:val="00395441"/>
    <w:rsid w:val="0039654F"/>
    <w:rsid w:val="003B049A"/>
    <w:rsid w:val="003B17BC"/>
    <w:rsid w:val="003B5BA7"/>
    <w:rsid w:val="003B7CC7"/>
    <w:rsid w:val="003C12AF"/>
    <w:rsid w:val="003C458D"/>
    <w:rsid w:val="003C4D0A"/>
    <w:rsid w:val="003C4DE4"/>
    <w:rsid w:val="003C5C70"/>
    <w:rsid w:val="003D3264"/>
    <w:rsid w:val="003E138D"/>
    <w:rsid w:val="003E1820"/>
    <w:rsid w:val="003E1ACF"/>
    <w:rsid w:val="003E33DC"/>
    <w:rsid w:val="003E6FA1"/>
    <w:rsid w:val="003F530A"/>
    <w:rsid w:val="003F61E1"/>
    <w:rsid w:val="003F7233"/>
    <w:rsid w:val="00400321"/>
    <w:rsid w:val="00404297"/>
    <w:rsid w:val="004052BC"/>
    <w:rsid w:val="00405B7A"/>
    <w:rsid w:val="00407E68"/>
    <w:rsid w:val="00412EA0"/>
    <w:rsid w:val="00415179"/>
    <w:rsid w:val="004239B3"/>
    <w:rsid w:val="00423C13"/>
    <w:rsid w:val="00425B58"/>
    <w:rsid w:val="00426D6B"/>
    <w:rsid w:val="00436A74"/>
    <w:rsid w:val="00437FF0"/>
    <w:rsid w:val="00441902"/>
    <w:rsid w:val="0044558B"/>
    <w:rsid w:val="00445607"/>
    <w:rsid w:val="004472F6"/>
    <w:rsid w:val="004509E3"/>
    <w:rsid w:val="00451AD9"/>
    <w:rsid w:val="0045397A"/>
    <w:rsid w:val="00460994"/>
    <w:rsid w:val="004632E3"/>
    <w:rsid w:val="004700BF"/>
    <w:rsid w:val="00471379"/>
    <w:rsid w:val="00472CAA"/>
    <w:rsid w:val="00473614"/>
    <w:rsid w:val="004774E0"/>
    <w:rsid w:val="00480825"/>
    <w:rsid w:val="004860A3"/>
    <w:rsid w:val="00490AF7"/>
    <w:rsid w:val="004911B2"/>
    <w:rsid w:val="00491CFB"/>
    <w:rsid w:val="0049516D"/>
    <w:rsid w:val="00496983"/>
    <w:rsid w:val="004A0DCC"/>
    <w:rsid w:val="004A112D"/>
    <w:rsid w:val="004A5B9C"/>
    <w:rsid w:val="004B26E0"/>
    <w:rsid w:val="004B54EE"/>
    <w:rsid w:val="004C4ECF"/>
    <w:rsid w:val="004C5605"/>
    <w:rsid w:val="004C5EF3"/>
    <w:rsid w:val="004D28D6"/>
    <w:rsid w:val="004D3883"/>
    <w:rsid w:val="004D49FC"/>
    <w:rsid w:val="004D7A44"/>
    <w:rsid w:val="004E3124"/>
    <w:rsid w:val="004F08D6"/>
    <w:rsid w:val="004F307D"/>
    <w:rsid w:val="004F3732"/>
    <w:rsid w:val="004F47B4"/>
    <w:rsid w:val="004F4A4B"/>
    <w:rsid w:val="004F4AD1"/>
    <w:rsid w:val="004F5086"/>
    <w:rsid w:val="004F5FA9"/>
    <w:rsid w:val="004F608E"/>
    <w:rsid w:val="00501EFF"/>
    <w:rsid w:val="00505F1C"/>
    <w:rsid w:val="005065C1"/>
    <w:rsid w:val="00506E33"/>
    <w:rsid w:val="0051313C"/>
    <w:rsid w:val="00520F4B"/>
    <w:rsid w:val="005237BC"/>
    <w:rsid w:val="0052552F"/>
    <w:rsid w:val="005270F9"/>
    <w:rsid w:val="00532604"/>
    <w:rsid w:val="005424BF"/>
    <w:rsid w:val="00543BA8"/>
    <w:rsid w:val="00563C6F"/>
    <w:rsid w:val="00563DED"/>
    <w:rsid w:val="00566F5B"/>
    <w:rsid w:val="005677BD"/>
    <w:rsid w:val="00570E1C"/>
    <w:rsid w:val="00571AAA"/>
    <w:rsid w:val="00573556"/>
    <w:rsid w:val="00573D2F"/>
    <w:rsid w:val="00574293"/>
    <w:rsid w:val="005776E8"/>
    <w:rsid w:val="0058099B"/>
    <w:rsid w:val="005817B6"/>
    <w:rsid w:val="005817FA"/>
    <w:rsid w:val="005843DE"/>
    <w:rsid w:val="00584B01"/>
    <w:rsid w:val="00584CDE"/>
    <w:rsid w:val="005939B6"/>
    <w:rsid w:val="00595AF1"/>
    <w:rsid w:val="0059682F"/>
    <w:rsid w:val="005B1099"/>
    <w:rsid w:val="005B5428"/>
    <w:rsid w:val="005B6B53"/>
    <w:rsid w:val="005C74E3"/>
    <w:rsid w:val="005D2CB9"/>
    <w:rsid w:val="005D5512"/>
    <w:rsid w:val="005F0BCD"/>
    <w:rsid w:val="005F222D"/>
    <w:rsid w:val="005F2629"/>
    <w:rsid w:val="005F3F60"/>
    <w:rsid w:val="005F525A"/>
    <w:rsid w:val="005F54F5"/>
    <w:rsid w:val="005F74C0"/>
    <w:rsid w:val="00600687"/>
    <w:rsid w:val="00605199"/>
    <w:rsid w:val="006124EC"/>
    <w:rsid w:val="0061252C"/>
    <w:rsid w:val="00614403"/>
    <w:rsid w:val="006227ED"/>
    <w:rsid w:val="00624C5E"/>
    <w:rsid w:val="0062652F"/>
    <w:rsid w:val="00633F22"/>
    <w:rsid w:val="00642197"/>
    <w:rsid w:val="00643CF6"/>
    <w:rsid w:val="00656AEA"/>
    <w:rsid w:val="00665869"/>
    <w:rsid w:val="00671EC0"/>
    <w:rsid w:val="006753AE"/>
    <w:rsid w:val="00676407"/>
    <w:rsid w:val="00676F48"/>
    <w:rsid w:val="006816F6"/>
    <w:rsid w:val="00686056"/>
    <w:rsid w:val="00686E1E"/>
    <w:rsid w:val="006971E9"/>
    <w:rsid w:val="00697343"/>
    <w:rsid w:val="006A473D"/>
    <w:rsid w:val="006B16E0"/>
    <w:rsid w:val="006B4816"/>
    <w:rsid w:val="006C5AD3"/>
    <w:rsid w:val="006C617F"/>
    <w:rsid w:val="006D037A"/>
    <w:rsid w:val="006D0C9B"/>
    <w:rsid w:val="006D2AD2"/>
    <w:rsid w:val="006D6A17"/>
    <w:rsid w:val="006E4D87"/>
    <w:rsid w:val="006F7988"/>
    <w:rsid w:val="00702871"/>
    <w:rsid w:val="00703305"/>
    <w:rsid w:val="00706C8E"/>
    <w:rsid w:val="00707073"/>
    <w:rsid w:val="00710965"/>
    <w:rsid w:val="00712496"/>
    <w:rsid w:val="007159C7"/>
    <w:rsid w:val="00715D77"/>
    <w:rsid w:val="0071635B"/>
    <w:rsid w:val="007172D9"/>
    <w:rsid w:val="00720888"/>
    <w:rsid w:val="0072746D"/>
    <w:rsid w:val="00732CF4"/>
    <w:rsid w:val="00734C1B"/>
    <w:rsid w:val="007516F0"/>
    <w:rsid w:val="007523CC"/>
    <w:rsid w:val="00753A99"/>
    <w:rsid w:val="00754E97"/>
    <w:rsid w:val="00755CD5"/>
    <w:rsid w:val="0076614E"/>
    <w:rsid w:val="007663D6"/>
    <w:rsid w:val="00773365"/>
    <w:rsid w:val="00787EE1"/>
    <w:rsid w:val="00787EFC"/>
    <w:rsid w:val="0079073B"/>
    <w:rsid w:val="007915A4"/>
    <w:rsid w:val="0079305A"/>
    <w:rsid w:val="00795BB9"/>
    <w:rsid w:val="00795ED9"/>
    <w:rsid w:val="0079610B"/>
    <w:rsid w:val="007B2FB1"/>
    <w:rsid w:val="007C008A"/>
    <w:rsid w:val="007C1FBB"/>
    <w:rsid w:val="007C44E8"/>
    <w:rsid w:val="007C65C5"/>
    <w:rsid w:val="007C7944"/>
    <w:rsid w:val="007E034D"/>
    <w:rsid w:val="007E03C0"/>
    <w:rsid w:val="007E1D34"/>
    <w:rsid w:val="007E2836"/>
    <w:rsid w:val="007E568A"/>
    <w:rsid w:val="007F08BD"/>
    <w:rsid w:val="007F0FD7"/>
    <w:rsid w:val="007F4828"/>
    <w:rsid w:val="0080204D"/>
    <w:rsid w:val="008119B7"/>
    <w:rsid w:val="00813DBC"/>
    <w:rsid w:val="00813F7A"/>
    <w:rsid w:val="00814963"/>
    <w:rsid w:val="0081555F"/>
    <w:rsid w:val="00816EB5"/>
    <w:rsid w:val="00822FC7"/>
    <w:rsid w:val="00825912"/>
    <w:rsid w:val="00826092"/>
    <w:rsid w:val="00827BC9"/>
    <w:rsid w:val="0083228F"/>
    <w:rsid w:val="00832711"/>
    <w:rsid w:val="00835C52"/>
    <w:rsid w:val="008419BE"/>
    <w:rsid w:val="008461B1"/>
    <w:rsid w:val="00846AC6"/>
    <w:rsid w:val="008517C9"/>
    <w:rsid w:val="00855D90"/>
    <w:rsid w:val="00856A0E"/>
    <w:rsid w:val="008619D7"/>
    <w:rsid w:val="00864C65"/>
    <w:rsid w:val="00870FED"/>
    <w:rsid w:val="00871753"/>
    <w:rsid w:val="00872FD2"/>
    <w:rsid w:val="00873D35"/>
    <w:rsid w:val="00876869"/>
    <w:rsid w:val="00876ABF"/>
    <w:rsid w:val="00883C6F"/>
    <w:rsid w:val="00893899"/>
    <w:rsid w:val="00894F9A"/>
    <w:rsid w:val="0089585B"/>
    <w:rsid w:val="008A0E26"/>
    <w:rsid w:val="008A3336"/>
    <w:rsid w:val="008B1A68"/>
    <w:rsid w:val="008C02B0"/>
    <w:rsid w:val="008C03E1"/>
    <w:rsid w:val="008C0EAA"/>
    <w:rsid w:val="008C4438"/>
    <w:rsid w:val="008C5A91"/>
    <w:rsid w:val="008C77D8"/>
    <w:rsid w:val="008E4C10"/>
    <w:rsid w:val="008E7B75"/>
    <w:rsid w:val="008E7B8E"/>
    <w:rsid w:val="008E7ED3"/>
    <w:rsid w:val="008F0E55"/>
    <w:rsid w:val="008F4003"/>
    <w:rsid w:val="009011B5"/>
    <w:rsid w:val="00902E00"/>
    <w:rsid w:val="00905422"/>
    <w:rsid w:val="00910463"/>
    <w:rsid w:val="009110AE"/>
    <w:rsid w:val="00913FA6"/>
    <w:rsid w:val="00916BF2"/>
    <w:rsid w:val="009222AD"/>
    <w:rsid w:val="00922338"/>
    <w:rsid w:val="00923054"/>
    <w:rsid w:val="00930258"/>
    <w:rsid w:val="00930A39"/>
    <w:rsid w:val="009350F0"/>
    <w:rsid w:val="0093541C"/>
    <w:rsid w:val="00941078"/>
    <w:rsid w:val="00941BC6"/>
    <w:rsid w:val="009424AA"/>
    <w:rsid w:val="009428BC"/>
    <w:rsid w:val="009430BD"/>
    <w:rsid w:val="0094710D"/>
    <w:rsid w:val="009500A2"/>
    <w:rsid w:val="00950EAB"/>
    <w:rsid w:val="009525E0"/>
    <w:rsid w:val="009554A2"/>
    <w:rsid w:val="00957068"/>
    <w:rsid w:val="00970C19"/>
    <w:rsid w:val="0097356D"/>
    <w:rsid w:val="00977BEA"/>
    <w:rsid w:val="00986C7D"/>
    <w:rsid w:val="00991538"/>
    <w:rsid w:val="0099372E"/>
    <w:rsid w:val="00995104"/>
    <w:rsid w:val="009A0464"/>
    <w:rsid w:val="009A1741"/>
    <w:rsid w:val="009A1A27"/>
    <w:rsid w:val="009A44A5"/>
    <w:rsid w:val="009A5241"/>
    <w:rsid w:val="009A658B"/>
    <w:rsid w:val="009A6CEC"/>
    <w:rsid w:val="009B18D1"/>
    <w:rsid w:val="009B2D95"/>
    <w:rsid w:val="009B53C7"/>
    <w:rsid w:val="009B5E72"/>
    <w:rsid w:val="009C01FB"/>
    <w:rsid w:val="009C2ED7"/>
    <w:rsid w:val="009C403B"/>
    <w:rsid w:val="009D1D33"/>
    <w:rsid w:val="009D3564"/>
    <w:rsid w:val="009E006D"/>
    <w:rsid w:val="009E0A65"/>
    <w:rsid w:val="009E5122"/>
    <w:rsid w:val="009F72A1"/>
    <w:rsid w:val="00A05F60"/>
    <w:rsid w:val="00A07649"/>
    <w:rsid w:val="00A126C0"/>
    <w:rsid w:val="00A126DC"/>
    <w:rsid w:val="00A13467"/>
    <w:rsid w:val="00A138E9"/>
    <w:rsid w:val="00A15635"/>
    <w:rsid w:val="00A17957"/>
    <w:rsid w:val="00A17CEA"/>
    <w:rsid w:val="00A208A8"/>
    <w:rsid w:val="00A2110C"/>
    <w:rsid w:val="00A26EB7"/>
    <w:rsid w:val="00A32258"/>
    <w:rsid w:val="00A33333"/>
    <w:rsid w:val="00A43B3E"/>
    <w:rsid w:val="00A51DE6"/>
    <w:rsid w:val="00A52C7E"/>
    <w:rsid w:val="00A5367A"/>
    <w:rsid w:val="00A563B2"/>
    <w:rsid w:val="00A61D62"/>
    <w:rsid w:val="00A63618"/>
    <w:rsid w:val="00A659E1"/>
    <w:rsid w:val="00A66856"/>
    <w:rsid w:val="00A723F6"/>
    <w:rsid w:val="00A80E26"/>
    <w:rsid w:val="00A85445"/>
    <w:rsid w:val="00A90389"/>
    <w:rsid w:val="00A9095F"/>
    <w:rsid w:val="00AA34E3"/>
    <w:rsid w:val="00AB3DD5"/>
    <w:rsid w:val="00AC1D94"/>
    <w:rsid w:val="00AC2393"/>
    <w:rsid w:val="00AC51A9"/>
    <w:rsid w:val="00AC6151"/>
    <w:rsid w:val="00AC78F5"/>
    <w:rsid w:val="00AE4C39"/>
    <w:rsid w:val="00AE4CBD"/>
    <w:rsid w:val="00AE710A"/>
    <w:rsid w:val="00AF1FFC"/>
    <w:rsid w:val="00AF29A3"/>
    <w:rsid w:val="00B01F02"/>
    <w:rsid w:val="00B020E4"/>
    <w:rsid w:val="00B024AD"/>
    <w:rsid w:val="00B06E23"/>
    <w:rsid w:val="00B07120"/>
    <w:rsid w:val="00B07E6D"/>
    <w:rsid w:val="00B07F29"/>
    <w:rsid w:val="00B12439"/>
    <w:rsid w:val="00B159D6"/>
    <w:rsid w:val="00B17033"/>
    <w:rsid w:val="00B21C9D"/>
    <w:rsid w:val="00B262AB"/>
    <w:rsid w:val="00B31D41"/>
    <w:rsid w:val="00B3343A"/>
    <w:rsid w:val="00B33CB7"/>
    <w:rsid w:val="00B34DE7"/>
    <w:rsid w:val="00B367BD"/>
    <w:rsid w:val="00B42C64"/>
    <w:rsid w:val="00B42E50"/>
    <w:rsid w:val="00B446FA"/>
    <w:rsid w:val="00B50422"/>
    <w:rsid w:val="00B55B33"/>
    <w:rsid w:val="00B563A0"/>
    <w:rsid w:val="00B56F78"/>
    <w:rsid w:val="00B617CD"/>
    <w:rsid w:val="00B763D6"/>
    <w:rsid w:val="00B76AF5"/>
    <w:rsid w:val="00B805E0"/>
    <w:rsid w:val="00B85BCE"/>
    <w:rsid w:val="00B904AB"/>
    <w:rsid w:val="00B91515"/>
    <w:rsid w:val="00B95182"/>
    <w:rsid w:val="00BA229E"/>
    <w:rsid w:val="00BB55B8"/>
    <w:rsid w:val="00BB6CB3"/>
    <w:rsid w:val="00BC266F"/>
    <w:rsid w:val="00BC30DA"/>
    <w:rsid w:val="00BC3E91"/>
    <w:rsid w:val="00BC46FC"/>
    <w:rsid w:val="00BC7CD6"/>
    <w:rsid w:val="00BD1241"/>
    <w:rsid w:val="00BD7124"/>
    <w:rsid w:val="00BE48D2"/>
    <w:rsid w:val="00BF567A"/>
    <w:rsid w:val="00BF6FD3"/>
    <w:rsid w:val="00C0068C"/>
    <w:rsid w:val="00C01D6F"/>
    <w:rsid w:val="00C0371E"/>
    <w:rsid w:val="00C04DCF"/>
    <w:rsid w:val="00C06177"/>
    <w:rsid w:val="00C075EA"/>
    <w:rsid w:val="00C154EB"/>
    <w:rsid w:val="00C23990"/>
    <w:rsid w:val="00C25EC1"/>
    <w:rsid w:val="00C34C43"/>
    <w:rsid w:val="00C36B1B"/>
    <w:rsid w:val="00C41004"/>
    <w:rsid w:val="00C4438F"/>
    <w:rsid w:val="00C44927"/>
    <w:rsid w:val="00C45A61"/>
    <w:rsid w:val="00C50A26"/>
    <w:rsid w:val="00C52613"/>
    <w:rsid w:val="00C5493A"/>
    <w:rsid w:val="00C61AC6"/>
    <w:rsid w:val="00C67173"/>
    <w:rsid w:val="00C702C7"/>
    <w:rsid w:val="00C73B51"/>
    <w:rsid w:val="00C7731F"/>
    <w:rsid w:val="00C83C39"/>
    <w:rsid w:val="00C8703B"/>
    <w:rsid w:val="00C876E4"/>
    <w:rsid w:val="00C90199"/>
    <w:rsid w:val="00C91E9C"/>
    <w:rsid w:val="00CA10BB"/>
    <w:rsid w:val="00CA1518"/>
    <w:rsid w:val="00CA4E63"/>
    <w:rsid w:val="00CA5B05"/>
    <w:rsid w:val="00CC1100"/>
    <w:rsid w:val="00CC5E8F"/>
    <w:rsid w:val="00CD28C7"/>
    <w:rsid w:val="00CD559A"/>
    <w:rsid w:val="00CD61BE"/>
    <w:rsid w:val="00CD7C6B"/>
    <w:rsid w:val="00CE3FC2"/>
    <w:rsid w:val="00CF0184"/>
    <w:rsid w:val="00CF2ED2"/>
    <w:rsid w:val="00CF7F7F"/>
    <w:rsid w:val="00D1491C"/>
    <w:rsid w:val="00D15092"/>
    <w:rsid w:val="00D236E8"/>
    <w:rsid w:val="00D27B73"/>
    <w:rsid w:val="00D345FF"/>
    <w:rsid w:val="00D4280C"/>
    <w:rsid w:val="00D4357B"/>
    <w:rsid w:val="00D5032D"/>
    <w:rsid w:val="00D5297D"/>
    <w:rsid w:val="00D52A6A"/>
    <w:rsid w:val="00D5605E"/>
    <w:rsid w:val="00D61DFC"/>
    <w:rsid w:val="00D62A30"/>
    <w:rsid w:val="00D62D09"/>
    <w:rsid w:val="00D63360"/>
    <w:rsid w:val="00D6481F"/>
    <w:rsid w:val="00D72124"/>
    <w:rsid w:val="00D752F4"/>
    <w:rsid w:val="00D754EA"/>
    <w:rsid w:val="00D75B37"/>
    <w:rsid w:val="00D815D0"/>
    <w:rsid w:val="00D819CC"/>
    <w:rsid w:val="00D83168"/>
    <w:rsid w:val="00D936F0"/>
    <w:rsid w:val="00D9798F"/>
    <w:rsid w:val="00DA1962"/>
    <w:rsid w:val="00DB0CB1"/>
    <w:rsid w:val="00DB5D79"/>
    <w:rsid w:val="00DB788A"/>
    <w:rsid w:val="00DC1E43"/>
    <w:rsid w:val="00DC20E4"/>
    <w:rsid w:val="00DC2586"/>
    <w:rsid w:val="00DC3A11"/>
    <w:rsid w:val="00DC3DB5"/>
    <w:rsid w:val="00DC4967"/>
    <w:rsid w:val="00DC4D91"/>
    <w:rsid w:val="00DD2708"/>
    <w:rsid w:val="00DD42D4"/>
    <w:rsid w:val="00DD5205"/>
    <w:rsid w:val="00DE0039"/>
    <w:rsid w:val="00DF241A"/>
    <w:rsid w:val="00DF2A6F"/>
    <w:rsid w:val="00DF4B62"/>
    <w:rsid w:val="00DF5D10"/>
    <w:rsid w:val="00DF6104"/>
    <w:rsid w:val="00DF710F"/>
    <w:rsid w:val="00E0517E"/>
    <w:rsid w:val="00E11DF0"/>
    <w:rsid w:val="00E1453C"/>
    <w:rsid w:val="00E17691"/>
    <w:rsid w:val="00E205B3"/>
    <w:rsid w:val="00E213D0"/>
    <w:rsid w:val="00E225E1"/>
    <w:rsid w:val="00E25610"/>
    <w:rsid w:val="00E26113"/>
    <w:rsid w:val="00E266A4"/>
    <w:rsid w:val="00E32F3E"/>
    <w:rsid w:val="00E33D32"/>
    <w:rsid w:val="00E35306"/>
    <w:rsid w:val="00E35315"/>
    <w:rsid w:val="00E35847"/>
    <w:rsid w:val="00E37044"/>
    <w:rsid w:val="00E434CA"/>
    <w:rsid w:val="00E5075E"/>
    <w:rsid w:val="00E51605"/>
    <w:rsid w:val="00E5241A"/>
    <w:rsid w:val="00E525F9"/>
    <w:rsid w:val="00E53590"/>
    <w:rsid w:val="00E55C67"/>
    <w:rsid w:val="00E56F4A"/>
    <w:rsid w:val="00E65EFA"/>
    <w:rsid w:val="00E720FF"/>
    <w:rsid w:val="00E77FB7"/>
    <w:rsid w:val="00E8194F"/>
    <w:rsid w:val="00E82D1D"/>
    <w:rsid w:val="00E837F1"/>
    <w:rsid w:val="00E84192"/>
    <w:rsid w:val="00E87432"/>
    <w:rsid w:val="00E943B8"/>
    <w:rsid w:val="00E947B7"/>
    <w:rsid w:val="00E960B5"/>
    <w:rsid w:val="00EA03D2"/>
    <w:rsid w:val="00EA3C18"/>
    <w:rsid w:val="00EA6540"/>
    <w:rsid w:val="00EB209E"/>
    <w:rsid w:val="00EB27F0"/>
    <w:rsid w:val="00EB5CD1"/>
    <w:rsid w:val="00EC3543"/>
    <w:rsid w:val="00EC4EE4"/>
    <w:rsid w:val="00EE04C0"/>
    <w:rsid w:val="00EE16D4"/>
    <w:rsid w:val="00EE18BD"/>
    <w:rsid w:val="00EE2C87"/>
    <w:rsid w:val="00EE5D34"/>
    <w:rsid w:val="00EF0EB4"/>
    <w:rsid w:val="00EF4086"/>
    <w:rsid w:val="00EF4CC4"/>
    <w:rsid w:val="00EF5FC4"/>
    <w:rsid w:val="00EF7AA3"/>
    <w:rsid w:val="00EF7D6F"/>
    <w:rsid w:val="00F045B9"/>
    <w:rsid w:val="00F134F0"/>
    <w:rsid w:val="00F15F5C"/>
    <w:rsid w:val="00F22578"/>
    <w:rsid w:val="00F3081C"/>
    <w:rsid w:val="00F30878"/>
    <w:rsid w:val="00F440E5"/>
    <w:rsid w:val="00F448EC"/>
    <w:rsid w:val="00F46A71"/>
    <w:rsid w:val="00F5081A"/>
    <w:rsid w:val="00F5253C"/>
    <w:rsid w:val="00F54EFF"/>
    <w:rsid w:val="00F564A7"/>
    <w:rsid w:val="00F565A3"/>
    <w:rsid w:val="00F622FE"/>
    <w:rsid w:val="00F62D48"/>
    <w:rsid w:val="00F64334"/>
    <w:rsid w:val="00F66768"/>
    <w:rsid w:val="00F66EE7"/>
    <w:rsid w:val="00F7435C"/>
    <w:rsid w:val="00F82BFE"/>
    <w:rsid w:val="00F845C4"/>
    <w:rsid w:val="00F9119D"/>
    <w:rsid w:val="00F93181"/>
    <w:rsid w:val="00FA1A9D"/>
    <w:rsid w:val="00FA33A1"/>
    <w:rsid w:val="00FB18F5"/>
    <w:rsid w:val="00FB25B9"/>
    <w:rsid w:val="00FB4665"/>
    <w:rsid w:val="00FB7223"/>
    <w:rsid w:val="00FB7A1A"/>
    <w:rsid w:val="00FC5C06"/>
    <w:rsid w:val="00FC6512"/>
    <w:rsid w:val="00FD0309"/>
    <w:rsid w:val="00FD3578"/>
    <w:rsid w:val="00FD505C"/>
    <w:rsid w:val="00FE068F"/>
    <w:rsid w:val="00FE2D28"/>
    <w:rsid w:val="00FE7DC9"/>
    <w:rsid w:val="00FE7E6F"/>
    <w:rsid w:val="00FF0B62"/>
    <w:rsid w:val="00FF3DA1"/>
    <w:rsid w:val="00FF605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89179E"/>
  <w15:docId w15:val="{C8E6BC9D-410F-4179-9175-FA13326C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D0A"/>
    <w:pPr>
      <w:spacing w:after="0" w:line="240" w:lineRule="atLeast"/>
    </w:pPr>
    <w:rPr>
      <w:sz w:val="17"/>
    </w:rPr>
  </w:style>
  <w:style w:type="paragraph" w:styleId="Heading1">
    <w:name w:val="heading 1"/>
    <w:basedOn w:val="Normal"/>
    <w:next w:val="Normal"/>
    <w:link w:val="Heading1Char"/>
    <w:uiPriority w:val="9"/>
    <w:qFormat/>
    <w:rsid w:val="00322DFA"/>
    <w:pPr>
      <w:keepNext/>
      <w:keepLines/>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qFormat/>
    <w:rsid w:val="007B2FB1"/>
    <w:pPr>
      <w:keepNext/>
      <w:keepLines/>
      <w:outlineLvl w:val="1"/>
    </w:pPr>
    <w:rPr>
      <w:rFonts w:asciiTheme="majorHAnsi" w:eastAsiaTheme="majorEastAsia" w:hAnsiTheme="majorHAnsi" w:cstheme="majorBidi"/>
      <w:b/>
      <w:bCs/>
      <w:i/>
      <w:color w:val="000000" w:themeColor="text1"/>
      <w:szCs w:val="26"/>
    </w:rPr>
  </w:style>
  <w:style w:type="paragraph" w:styleId="Heading3">
    <w:name w:val="heading 3"/>
    <w:basedOn w:val="Normal"/>
    <w:next w:val="Normal"/>
    <w:link w:val="Heading3Char"/>
    <w:uiPriority w:val="9"/>
    <w:semiHidden/>
    <w:qFormat/>
    <w:rsid w:val="00C61AC6"/>
    <w:pPr>
      <w:keepNext/>
      <w:keepLines/>
      <w:numPr>
        <w:ilvl w:val="2"/>
        <w:numId w:val="16"/>
      </w:numPr>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qFormat/>
    <w:rsid w:val="00255D53"/>
    <w:pPr>
      <w:keepNext/>
      <w:keepLines/>
      <w:tabs>
        <w:tab w:val="left" w:pos="340"/>
      </w:tabs>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DFA"/>
    <w:rPr>
      <w:rFonts w:asciiTheme="majorHAnsi" w:eastAsiaTheme="majorEastAsia" w:hAnsiTheme="majorHAnsi" w:cstheme="majorBidi"/>
      <w:b/>
      <w:bCs/>
      <w:color w:val="000000" w:themeColor="text1"/>
      <w:sz w:val="17"/>
      <w:szCs w:val="28"/>
    </w:rPr>
  </w:style>
  <w:style w:type="character" w:customStyle="1" w:styleId="Heading2Char">
    <w:name w:val="Heading 2 Char"/>
    <w:basedOn w:val="DefaultParagraphFont"/>
    <w:link w:val="Heading2"/>
    <w:uiPriority w:val="9"/>
    <w:rsid w:val="007B2FB1"/>
    <w:rPr>
      <w:rFonts w:asciiTheme="majorHAnsi" w:eastAsiaTheme="majorEastAsia" w:hAnsiTheme="majorHAnsi" w:cstheme="majorBidi"/>
      <w:b/>
      <w:bCs/>
      <w:i/>
      <w:color w:val="000000" w:themeColor="text1"/>
      <w:szCs w:val="26"/>
    </w:rPr>
  </w:style>
  <w:style w:type="table" w:styleId="TableGrid">
    <w:name w:val="Table Grid"/>
    <w:basedOn w:val="TableNormal"/>
    <w:uiPriority w:val="59"/>
    <w:rsid w:val="00025E7D"/>
    <w:pPr>
      <w:spacing w:after="0" w:line="240" w:lineRule="auto"/>
    </w:pPr>
    <w:tblPr/>
  </w:style>
  <w:style w:type="paragraph" w:styleId="Header">
    <w:name w:val="header"/>
    <w:link w:val="HeaderChar"/>
    <w:uiPriority w:val="99"/>
    <w:rsid w:val="000A53E2"/>
    <w:pPr>
      <w:tabs>
        <w:tab w:val="center" w:pos="4513"/>
        <w:tab w:val="right" w:pos="9026"/>
      </w:tabs>
      <w:spacing w:after="0" w:line="240" w:lineRule="auto"/>
    </w:pPr>
    <w:rPr>
      <w:sz w:val="17"/>
    </w:rPr>
  </w:style>
  <w:style w:type="character" w:customStyle="1" w:styleId="HeaderChar">
    <w:name w:val="Header Char"/>
    <w:basedOn w:val="DefaultParagraphFont"/>
    <w:link w:val="Header"/>
    <w:uiPriority w:val="99"/>
    <w:rsid w:val="000A53E2"/>
    <w:rPr>
      <w:sz w:val="17"/>
    </w:rPr>
  </w:style>
  <w:style w:type="paragraph" w:styleId="Footer">
    <w:name w:val="footer"/>
    <w:link w:val="FooterChar"/>
    <w:uiPriority w:val="99"/>
    <w:rsid w:val="00A90389"/>
    <w:pPr>
      <w:tabs>
        <w:tab w:val="right" w:pos="7371"/>
      </w:tabs>
      <w:spacing w:after="0" w:line="130" w:lineRule="exact"/>
      <w:ind w:right="227"/>
    </w:pPr>
    <w:rPr>
      <w:sz w:val="11"/>
    </w:rPr>
  </w:style>
  <w:style w:type="character" w:customStyle="1" w:styleId="FooterChar">
    <w:name w:val="Footer Char"/>
    <w:basedOn w:val="DefaultParagraphFont"/>
    <w:link w:val="Footer"/>
    <w:uiPriority w:val="99"/>
    <w:rsid w:val="00A90389"/>
    <w:rPr>
      <w:sz w:val="11"/>
    </w:rPr>
  </w:style>
  <w:style w:type="paragraph" w:styleId="BalloonText">
    <w:name w:val="Balloon Text"/>
    <w:basedOn w:val="Normal"/>
    <w:link w:val="BalloonTextChar"/>
    <w:uiPriority w:val="99"/>
    <w:semiHidden/>
    <w:rsid w:val="00C702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9A0464"/>
    <w:pPr>
      <w:numPr>
        <w:numId w:val="1"/>
      </w:numPr>
      <w:tabs>
        <w:tab w:val="clear" w:pos="360"/>
        <w:tab w:val="left" w:pos="227"/>
      </w:tabs>
      <w:ind w:left="227" w:hanging="227"/>
      <w:contextualSpacing/>
    </w:pPr>
  </w:style>
  <w:style w:type="paragraph" w:styleId="ListBullet2">
    <w:name w:val="List Bullet 2"/>
    <w:basedOn w:val="Normal"/>
    <w:uiPriority w:val="99"/>
    <w:qFormat/>
    <w:rsid w:val="009A0464"/>
    <w:pPr>
      <w:numPr>
        <w:numId w:val="2"/>
      </w:numPr>
      <w:ind w:left="454" w:hanging="227"/>
      <w:contextualSpacing/>
    </w:pPr>
  </w:style>
  <w:style w:type="paragraph" w:styleId="ListNumber">
    <w:name w:val="List Number"/>
    <w:basedOn w:val="Normal"/>
    <w:uiPriority w:val="99"/>
    <w:qFormat/>
    <w:rsid w:val="00E26113"/>
    <w:pPr>
      <w:numPr>
        <w:numId w:val="3"/>
      </w:numPr>
      <w:ind w:left="340" w:hanging="340"/>
      <w:contextualSpacing/>
    </w:pPr>
  </w:style>
  <w:style w:type="paragraph" w:styleId="ListNumber2">
    <w:name w:val="List Number 2"/>
    <w:basedOn w:val="Normal"/>
    <w:uiPriority w:val="99"/>
    <w:qFormat/>
    <w:rsid w:val="00E26113"/>
    <w:pPr>
      <w:numPr>
        <w:numId w:val="4"/>
      </w:numPr>
      <w:ind w:left="680" w:hanging="340"/>
      <w:contextualSpacing/>
    </w:pPr>
  </w:style>
  <w:style w:type="character" w:customStyle="1" w:styleId="Heading3Char">
    <w:name w:val="Heading 3 Char"/>
    <w:basedOn w:val="DefaultParagraphFont"/>
    <w:link w:val="Heading3"/>
    <w:uiPriority w:val="9"/>
    <w:semiHidden/>
    <w:rsid w:val="00C8703B"/>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C8703B"/>
    <w:rPr>
      <w:rFonts w:asciiTheme="majorHAnsi" w:eastAsiaTheme="majorEastAsia" w:hAnsiTheme="majorHAnsi" w:cstheme="majorBidi"/>
      <w:b/>
      <w:bCs/>
      <w:iCs/>
      <w:color w:val="000000" w:themeColor="text1"/>
    </w:rPr>
  </w:style>
  <w:style w:type="paragraph" w:styleId="FootnoteText">
    <w:name w:val="footnote text"/>
    <w:basedOn w:val="Normal"/>
    <w:link w:val="FootnoteTextChar"/>
    <w:uiPriority w:val="99"/>
    <w:semiHidden/>
    <w:rsid w:val="00F3081C"/>
    <w:pPr>
      <w:spacing w:line="240" w:lineRule="auto"/>
    </w:pPr>
    <w:rPr>
      <w:sz w:val="16"/>
      <w:szCs w:val="20"/>
    </w:rPr>
  </w:style>
  <w:style w:type="character" w:customStyle="1" w:styleId="FootnoteTextChar">
    <w:name w:val="Footnote Text Char"/>
    <w:basedOn w:val="DefaultParagraphFont"/>
    <w:link w:val="FootnoteText"/>
    <w:uiPriority w:val="99"/>
    <w:semiHidden/>
    <w:rsid w:val="00C8703B"/>
    <w:rPr>
      <w:sz w:val="16"/>
      <w:szCs w:val="20"/>
    </w:rPr>
  </w:style>
  <w:style w:type="paragraph" w:customStyle="1" w:styleId="Documenttitle">
    <w:name w:val="Document title"/>
    <w:next w:val="Normal"/>
    <w:qFormat/>
    <w:rsid w:val="00B85BCE"/>
    <w:pPr>
      <w:spacing w:after="0" w:line="240" w:lineRule="auto"/>
    </w:pPr>
    <w:rPr>
      <w:rFonts w:asciiTheme="majorHAnsi" w:eastAsiaTheme="majorEastAsia" w:hAnsiTheme="majorHAnsi" w:cstheme="majorBidi"/>
      <w:b/>
      <w:bCs/>
      <w:sz w:val="36"/>
      <w:szCs w:val="28"/>
    </w:rPr>
  </w:style>
  <w:style w:type="paragraph" w:customStyle="1" w:styleId="Subheading">
    <w:name w:val="Subheading"/>
    <w:basedOn w:val="Normal"/>
    <w:next w:val="Normal"/>
    <w:semiHidden/>
    <w:qFormat/>
    <w:rsid w:val="00D236E8"/>
    <w:rPr>
      <w:rFonts w:asciiTheme="majorHAnsi" w:eastAsiaTheme="majorEastAsia" w:hAnsiTheme="majorHAnsi" w:cstheme="majorBidi"/>
      <w:b/>
      <w:bCs/>
      <w:iCs/>
      <w:color w:val="000000" w:themeColor="text1"/>
    </w:rPr>
  </w:style>
  <w:style w:type="character" w:styleId="FootnoteReference">
    <w:name w:val="footnote reference"/>
    <w:basedOn w:val="DefaultParagraphFont"/>
    <w:uiPriority w:val="99"/>
    <w:semiHidden/>
    <w:rsid w:val="00412EA0"/>
    <w:rPr>
      <w:vertAlign w:val="superscript"/>
    </w:rPr>
  </w:style>
  <w:style w:type="paragraph" w:customStyle="1" w:styleId="Deloitteaddress">
    <w:name w:val="Deloitte address"/>
    <w:basedOn w:val="Normal"/>
    <w:qFormat/>
    <w:rsid w:val="00235E99"/>
    <w:pPr>
      <w:spacing w:line="170" w:lineRule="atLeast"/>
    </w:pPr>
    <w:rPr>
      <w:sz w:val="14"/>
    </w:rPr>
  </w:style>
  <w:style w:type="character" w:styleId="CommentReference">
    <w:name w:val="annotation reference"/>
    <w:basedOn w:val="DefaultParagraphFont"/>
    <w:uiPriority w:val="99"/>
    <w:semiHidden/>
    <w:rsid w:val="00950EAB"/>
    <w:rPr>
      <w:sz w:val="16"/>
      <w:szCs w:val="16"/>
    </w:rPr>
  </w:style>
  <w:style w:type="paragraph" w:styleId="CommentText">
    <w:name w:val="annotation text"/>
    <w:basedOn w:val="Normal"/>
    <w:link w:val="CommentTextChar"/>
    <w:uiPriority w:val="99"/>
    <w:semiHidden/>
    <w:rsid w:val="00950EAB"/>
    <w:pPr>
      <w:spacing w:line="240" w:lineRule="auto"/>
    </w:pPr>
    <w:rPr>
      <w:sz w:val="20"/>
      <w:szCs w:val="20"/>
    </w:rPr>
  </w:style>
  <w:style w:type="character" w:customStyle="1" w:styleId="CommentTextChar">
    <w:name w:val="Comment Text Char"/>
    <w:basedOn w:val="DefaultParagraphFont"/>
    <w:link w:val="CommentText"/>
    <w:uiPriority w:val="99"/>
    <w:semiHidden/>
    <w:rsid w:val="00950EAB"/>
    <w:rPr>
      <w:sz w:val="20"/>
      <w:szCs w:val="20"/>
    </w:rPr>
  </w:style>
  <w:style w:type="paragraph" w:styleId="CommentSubject">
    <w:name w:val="annotation subject"/>
    <w:basedOn w:val="CommentText"/>
    <w:next w:val="CommentText"/>
    <w:link w:val="CommentSubjectChar"/>
    <w:uiPriority w:val="99"/>
    <w:semiHidden/>
    <w:rsid w:val="00950EAB"/>
    <w:rPr>
      <w:b/>
      <w:bCs/>
    </w:rPr>
  </w:style>
  <w:style w:type="character" w:customStyle="1" w:styleId="CommentSubjectChar">
    <w:name w:val="Comment Subject Char"/>
    <w:basedOn w:val="CommentTextChar"/>
    <w:link w:val="CommentSubject"/>
    <w:uiPriority w:val="99"/>
    <w:semiHidden/>
    <w:rsid w:val="00950EAB"/>
    <w:rPr>
      <w:b/>
      <w:bCs/>
      <w:sz w:val="20"/>
      <w:szCs w:val="20"/>
    </w:rPr>
  </w:style>
  <w:style w:type="paragraph" w:customStyle="1" w:styleId="Tabletitle">
    <w:name w:val="Table title"/>
    <w:qFormat/>
    <w:rsid w:val="00B17033"/>
    <w:pPr>
      <w:spacing w:after="0" w:line="240" w:lineRule="atLeast"/>
    </w:pPr>
    <w:rPr>
      <w:rFonts w:asciiTheme="majorHAnsi" w:eastAsiaTheme="majorEastAsia" w:hAnsiTheme="majorHAnsi" w:cstheme="majorBidi"/>
      <w:b/>
      <w:bCs/>
      <w:color w:val="000000" w:themeColor="text1"/>
      <w:sz w:val="17"/>
      <w:szCs w:val="28"/>
    </w:rPr>
  </w:style>
  <w:style w:type="paragraph" w:customStyle="1" w:styleId="Sponsortext">
    <w:name w:val="Sponsor text"/>
    <w:basedOn w:val="Footer"/>
    <w:rsid w:val="00A90389"/>
    <w:pPr>
      <w:spacing w:line="170" w:lineRule="exact"/>
      <w:ind w:right="0"/>
    </w:pPr>
    <w:rPr>
      <w:sz w:val="14"/>
    </w:rPr>
  </w:style>
  <w:style w:type="paragraph" w:customStyle="1" w:styleId="Status">
    <w:name w:val="Status"/>
    <w:basedOn w:val="Documenttitle"/>
    <w:qFormat/>
    <w:rsid w:val="00B85BCE"/>
    <w:pPr>
      <w:spacing w:after="640"/>
    </w:pPr>
    <w:rPr>
      <w:b w:val="0"/>
      <w:caps/>
    </w:rPr>
  </w:style>
  <w:style w:type="paragraph" w:customStyle="1" w:styleId="Headline">
    <w:name w:val="Headline"/>
    <w:qFormat/>
    <w:rsid w:val="00E65EFA"/>
    <w:pPr>
      <w:spacing w:before="300" w:after="0" w:line="240" w:lineRule="auto"/>
    </w:pPr>
    <w:rPr>
      <w:rFonts w:asciiTheme="majorHAnsi" w:eastAsiaTheme="majorEastAsia" w:hAnsiTheme="majorHAnsi" w:cstheme="majorBidi"/>
      <w:b/>
      <w:bCs/>
      <w:noProof/>
      <w:sz w:val="28"/>
      <w:szCs w:val="28"/>
    </w:rPr>
  </w:style>
  <w:style w:type="paragraph" w:styleId="BodyText">
    <w:name w:val="Body Text"/>
    <w:basedOn w:val="Normal"/>
    <w:link w:val="BodyTextChar"/>
    <w:uiPriority w:val="99"/>
    <w:rsid w:val="001E3618"/>
    <w:pPr>
      <w:spacing w:line="240" w:lineRule="auto"/>
    </w:pPr>
    <w:rPr>
      <w:rFonts w:ascii="Times New Roman" w:eastAsia="Times New Roman" w:hAnsi="Times New Roman" w:cs="Times New Roman"/>
      <w:b/>
      <w:bCs/>
      <w:sz w:val="24"/>
      <w:szCs w:val="24"/>
      <w:lang w:val="hu-HU"/>
    </w:rPr>
  </w:style>
  <w:style w:type="character" w:customStyle="1" w:styleId="BodyTextChar">
    <w:name w:val="Body Text Char"/>
    <w:basedOn w:val="DefaultParagraphFont"/>
    <w:link w:val="BodyText"/>
    <w:uiPriority w:val="99"/>
    <w:rsid w:val="001E3618"/>
    <w:rPr>
      <w:rFonts w:ascii="Times New Roman" w:eastAsia="Times New Roman" w:hAnsi="Times New Roman" w:cs="Times New Roman"/>
      <w:b/>
      <w:bCs/>
      <w:sz w:val="24"/>
      <w:szCs w:val="24"/>
      <w:lang w:val="hu-HU"/>
    </w:rPr>
  </w:style>
  <w:style w:type="character" w:styleId="Hyperlink">
    <w:name w:val="Hyperlink"/>
    <w:basedOn w:val="DefaultParagraphFont"/>
    <w:uiPriority w:val="99"/>
    <w:unhideWhenUsed/>
    <w:rsid w:val="009554A2"/>
    <w:rPr>
      <w:color w:val="00A3E0" w:themeColor="hyperlink"/>
      <w:u w:val="single"/>
    </w:rPr>
  </w:style>
  <w:style w:type="paragraph" w:customStyle="1" w:styleId="page-intro-copy">
    <w:name w:val="page-intro-copy"/>
    <w:basedOn w:val="Normal"/>
    <w:rsid w:val="0007639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3">
    <w:name w:val="Style3"/>
    <w:basedOn w:val="Normal"/>
    <w:uiPriority w:val="99"/>
    <w:rsid w:val="00913FA6"/>
    <w:pPr>
      <w:widowControl w:val="0"/>
      <w:autoSpaceDE w:val="0"/>
      <w:autoSpaceDN w:val="0"/>
      <w:adjustRightInd w:val="0"/>
      <w:spacing w:line="219" w:lineRule="exact"/>
    </w:pPr>
    <w:rPr>
      <w:rFonts w:ascii="Arial" w:eastAsia="Times New Roman" w:hAnsi="Arial" w:cs="Arial"/>
      <w:sz w:val="24"/>
      <w:szCs w:val="24"/>
      <w:lang w:val="en-US"/>
    </w:rPr>
  </w:style>
  <w:style w:type="paragraph" w:styleId="ListParagraph">
    <w:name w:val="List Paragraph"/>
    <w:basedOn w:val="Normal"/>
    <w:uiPriority w:val="34"/>
    <w:qFormat/>
    <w:rsid w:val="00E5075E"/>
    <w:pPr>
      <w:ind w:left="720"/>
      <w:contextualSpacing/>
    </w:pPr>
  </w:style>
  <w:style w:type="paragraph" w:styleId="Revision">
    <w:name w:val="Revision"/>
    <w:hidden/>
    <w:uiPriority w:val="99"/>
    <w:semiHidden/>
    <w:rsid w:val="00A138E9"/>
    <w:pPr>
      <w:spacing w:after="0" w:line="240" w:lineRule="auto"/>
    </w:pPr>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362708775">
      <w:bodyDiv w:val="1"/>
      <w:marLeft w:val="0"/>
      <w:marRight w:val="0"/>
      <w:marTop w:val="0"/>
      <w:marBottom w:val="0"/>
      <w:divBdr>
        <w:top w:val="none" w:sz="0" w:space="0" w:color="auto"/>
        <w:left w:val="none" w:sz="0" w:space="0" w:color="auto"/>
        <w:bottom w:val="none" w:sz="0" w:space="0" w:color="auto"/>
        <w:right w:val="none" w:sz="0" w:space="0" w:color="auto"/>
      </w:divBdr>
      <w:divsChild>
        <w:div w:id="990714185">
          <w:marLeft w:val="0"/>
          <w:marRight w:val="0"/>
          <w:marTop w:val="0"/>
          <w:marBottom w:val="0"/>
          <w:divBdr>
            <w:top w:val="none" w:sz="0" w:space="0" w:color="auto"/>
            <w:left w:val="none" w:sz="0" w:space="0" w:color="auto"/>
            <w:bottom w:val="none" w:sz="0" w:space="0" w:color="auto"/>
            <w:right w:val="none" w:sz="0" w:space="0" w:color="auto"/>
          </w:divBdr>
          <w:divsChild>
            <w:div w:id="619065796">
              <w:marLeft w:val="0"/>
              <w:marRight w:val="0"/>
              <w:marTop w:val="0"/>
              <w:marBottom w:val="0"/>
              <w:divBdr>
                <w:top w:val="none" w:sz="0" w:space="0" w:color="auto"/>
                <w:left w:val="none" w:sz="0" w:space="0" w:color="auto"/>
                <w:bottom w:val="none" w:sz="0" w:space="0" w:color="auto"/>
                <w:right w:val="none" w:sz="0" w:space="0" w:color="auto"/>
              </w:divBdr>
              <w:divsChild>
                <w:div w:id="7044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27165">
      <w:bodyDiv w:val="1"/>
      <w:marLeft w:val="0"/>
      <w:marRight w:val="0"/>
      <w:marTop w:val="0"/>
      <w:marBottom w:val="0"/>
      <w:divBdr>
        <w:top w:val="none" w:sz="0" w:space="0" w:color="auto"/>
        <w:left w:val="none" w:sz="0" w:space="0" w:color="auto"/>
        <w:bottom w:val="none" w:sz="0" w:space="0" w:color="auto"/>
        <w:right w:val="none" w:sz="0" w:space="0" w:color="auto"/>
      </w:divBdr>
    </w:div>
    <w:div w:id="18959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eloitte.com/content/dam/Deloitte/ro/Documents/20180424_ImpRepRBSTA_ENG.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loitte.com/ro/abou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loitte.com/ro/desp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iuca\Documents\Proiecte\NEW%20BRAND\Templates%20intranet\utile\Lucrate\News_Release_A4.dotx" TargetMode="External"/></Relationships>
</file>

<file path=word/theme/theme1.xml><?xml version="1.0" encoding="utf-8"?>
<a:theme xmlns:a="http://schemas.openxmlformats.org/drawingml/2006/main" name="Office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BB01B-93FE-4992-95FF-CDB24ABC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News_Release_A4.dotx</Template>
  <TotalTime>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Memo</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Ioana-Adela Ciuca</dc:creator>
  <cp:keywords/>
  <dc:description/>
  <cp:lastModifiedBy>Covaci, Claudia (RO - Bucharest)</cp:lastModifiedBy>
  <cp:revision>4</cp:revision>
  <cp:lastPrinted>2018-04-03T15:04:00Z</cp:lastPrinted>
  <dcterms:created xsi:type="dcterms:W3CDTF">2018-05-06T14:12:00Z</dcterms:created>
  <dcterms:modified xsi:type="dcterms:W3CDTF">2018-05-07T06:48:00Z</dcterms:modified>
</cp:coreProperties>
</file>