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DCF" w:rsidRDefault="00E85B51" w:rsidP="00176DCF">
      <w:pPr>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 xml:space="preserve">MIT: </w:t>
      </w:r>
      <w:proofErr w:type="spellStart"/>
      <w:r>
        <w:rPr>
          <w:rFonts w:ascii="Times New Roman" w:hAnsi="Times New Roman" w:cs="Times New Roman"/>
          <w:b/>
          <w:color w:val="FF0000"/>
          <w:sz w:val="24"/>
          <w:szCs w:val="24"/>
          <w:lang w:val="en-US"/>
        </w:rPr>
        <w:t>avem</w:t>
      </w:r>
      <w:proofErr w:type="spellEnd"/>
      <w:r>
        <w:rPr>
          <w:rFonts w:ascii="Times New Roman" w:hAnsi="Times New Roman" w:cs="Times New Roman"/>
          <w:b/>
          <w:color w:val="FF0000"/>
          <w:sz w:val="24"/>
          <w:szCs w:val="24"/>
          <w:lang w:val="en-US"/>
        </w:rPr>
        <w:t xml:space="preserve"> </w:t>
      </w:r>
      <w:proofErr w:type="spellStart"/>
      <w:r>
        <w:rPr>
          <w:rFonts w:ascii="Times New Roman" w:hAnsi="Times New Roman" w:cs="Times New Roman"/>
          <w:b/>
          <w:color w:val="FF0000"/>
          <w:sz w:val="24"/>
          <w:szCs w:val="24"/>
          <w:lang w:val="en-US"/>
        </w:rPr>
        <w:t>nevoie</w:t>
      </w:r>
      <w:proofErr w:type="spellEnd"/>
      <w:r w:rsidR="00E551CF">
        <w:rPr>
          <w:rFonts w:ascii="Times New Roman" w:hAnsi="Times New Roman" w:cs="Times New Roman"/>
          <w:b/>
          <w:color w:val="FF0000"/>
          <w:sz w:val="24"/>
          <w:szCs w:val="24"/>
          <w:lang w:val="en-US"/>
        </w:rPr>
        <w:t xml:space="preserve"> de </w:t>
      </w:r>
      <w:proofErr w:type="spellStart"/>
      <w:r w:rsidR="00E551CF">
        <w:rPr>
          <w:rFonts w:ascii="Times New Roman" w:hAnsi="Times New Roman" w:cs="Times New Roman"/>
          <w:b/>
          <w:color w:val="FF0000"/>
          <w:sz w:val="24"/>
          <w:szCs w:val="24"/>
          <w:lang w:val="en-US"/>
        </w:rPr>
        <w:t>bani</w:t>
      </w:r>
      <w:proofErr w:type="spellEnd"/>
      <w:r w:rsidR="00E551CF">
        <w:rPr>
          <w:rFonts w:ascii="Times New Roman" w:hAnsi="Times New Roman" w:cs="Times New Roman"/>
          <w:b/>
          <w:color w:val="FF0000"/>
          <w:sz w:val="24"/>
          <w:szCs w:val="24"/>
          <w:lang w:val="en-US"/>
        </w:rPr>
        <w:t xml:space="preserve"> </w:t>
      </w:r>
      <w:proofErr w:type="spellStart"/>
      <w:r w:rsidR="00E551CF">
        <w:rPr>
          <w:rFonts w:ascii="Times New Roman" w:hAnsi="Times New Roman" w:cs="Times New Roman"/>
          <w:b/>
          <w:color w:val="FF0000"/>
          <w:sz w:val="24"/>
          <w:szCs w:val="24"/>
          <w:lang w:val="en-US"/>
        </w:rPr>
        <w:t>ieftini</w:t>
      </w:r>
      <w:proofErr w:type="spellEnd"/>
      <w:r w:rsidR="00E551CF">
        <w:rPr>
          <w:rFonts w:ascii="Times New Roman" w:hAnsi="Times New Roman" w:cs="Times New Roman"/>
          <w:b/>
          <w:color w:val="FF0000"/>
          <w:sz w:val="24"/>
          <w:szCs w:val="24"/>
          <w:lang w:val="en-US"/>
        </w:rPr>
        <w:t xml:space="preserve"> </w:t>
      </w:r>
      <w:proofErr w:type="spellStart"/>
      <w:r w:rsidR="00E551CF">
        <w:rPr>
          <w:rFonts w:ascii="Times New Roman" w:hAnsi="Times New Roman" w:cs="Times New Roman"/>
          <w:b/>
          <w:color w:val="FF0000"/>
          <w:sz w:val="24"/>
          <w:szCs w:val="24"/>
          <w:lang w:val="en-US"/>
        </w:rPr>
        <w:t>pentru</w:t>
      </w:r>
      <w:proofErr w:type="spellEnd"/>
      <w:r w:rsidR="00E551CF">
        <w:rPr>
          <w:rFonts w:ascii="Times New Roman" w:hAnsi="Times New Roman" w:cs="Times New Roman"/>
          <w:b/>
          <w:color w:val="FF0000"/>
          <w:sz w:val="24"/>
          <w:szCs w:val="24"/>
          <w:lang w:val="en-US"/>
        </w:rPr>
        <w:t xml:space="preserve"> </w:t>
      </w:r>
      <w:proofErr w:type="spellStart"/>
      <w:r w:rsidR="00E551CF">
        <w:rPr>
          <w:rFonts w:ascii="Times New Roman" w:hAnsi="Times New Roman" w:cs="Times New Roman"/>
          <w:b/>
          <w:color w:val="FF0000"/>
          <w:sz w:val="24"/>
          <w:szCs w:val="24"/>
          <w:lang w:val="en-US"/>
        </w:rPr>
        <w:t>investiț</w:t>
      </w:r>
      <w:r>
        <w:rPr>
          <w:rFonts w:ascii="Times New Roman" w:hAnsi="Times New Roman" w:cs="Times New Roman"/>
          <w:b/>
          <w:color w:val="FF0000"/>
          <w:sz w:val="24"/>
          <w:szCs w:val="24"/>
          <w:lang w:val="en-US"/>
        </w:rPr>
        <w:t>ii</w:t>
      </w:r>
      <w:proofErr w:type="spellEnd"/>
      <w:r>
        <w:rPr>
          <w:rFonts w:ascii="Times New Roman" w:hAnsi="Times New Roman" w:cs="Times New Roman"/>
          <w:b/>
          <w:color w:val="FF0000"/>
          <w:sz w:val="24"/>
          <w:szCs w:val="24"/>
          <w:lang w:val="en-US"/>
        </w:rPr>
        <w:t xml:space="preserve"> </w:t>
      </w:r>
      <w:proofErr w:type="spellStart"/>
      <w:r>
        <w:rPr>
          <w:rFonts w:ascii="Times New Roman" w:hAnsi="Times New Roman" w:cs="Times New Roman"/>
          <w:b/>
          <w:color w:val="FF0000"/>
          <w:sz w:val="24"/>
          <w:szCs w:val="24"/>
          <w:lang w:val="en-US"/>
        </w:rPr>
        <w:t>eficiente</w:t>
      </w:r>
      <w:proofErr w:type="spellEnd"/>
      <w:r>
        <w:rPr>
          <w:rFonts w:ascii="Times New Roman" w:hAnsi="Times New Roman" w:cs="Times New Roman"/>
          <w:b/>
          <w:color w:val="FF0000"/>
          <w:sz w:val="24"/>
          <w:szCs w:val="24"/>
          <w:lang w:val="en-US"/>
        </w:rPr>
        <w:t>?</w:t>
      </w:r>
    </w:p>
    <w:p w:rsidR="00581668" w:rsidRDefault="00581668" w:rsidP="008B6A97">
      <w:pPr>
        <w:ind w:firstLine="708"/>
        <w:jc w:val="both"/>
        <w:rPr>
          <w:rFonts w:ascii="Times New Roman" w:eastAsia="Calibri" w:hAnsi="Times New Roman" w:cs="Times New Roman"/>
          <w:color w:val="000000" w:themeColor="text1"/>
          <w:sz w:val="24"/>
          <w:szCs w:val="24"/>
        </w:rPr>
      </w:pPr>
      <w:r w:rsidRPr="00973DD2">
        <w:rPr>
          <w:rFonts w:ascii="Times New Roman" w:eastAsia="Calibri" w:hAnsi="Times New Roman" w:cs="Times New Roman"/>
          <w:color w:val="000000" w:themeColor="text1"/>
          <w:sz w:val="24"/>
          <w:szCs w:val="24"/>
        </w:rPr>
        <w:t xml:space="preserve">În </w:t>
      </w:r>
      <w:r w:rsidR="00502D47">
        <w:rPr>
          <w:rFonts w:ascii="Times New Roman" w:eastAsia="Calibri" w:hAnsi="Times New Roman" w:cs="Times New Roman"/>
          <w:color w:val="000000" w:themeColor="text1"/>
          <w:sz w:val="24"/>
          <w:szCs w:val="24"/>
        </w:rPr>
        <w:t>contextul creșterii presiunilor inflaționiste</w:t>
      </w:r>
      <w:r w:rsidRPr="00973DD2">
        <w:rPr>
          <w:rFonts w:ascii="Times New Roman" w:eastAsia="Calibri" w:hAnsi="Times New Roman" w:cs="Times New Roman"/>
          <w:color w:val="000000" w:themeColor="text1"/>
          <w:sz w:val="24"/>
          <w:szCs w:val="24"/>
        </w:rPr>
        <w:t xml:space="preserve">, dobânda medie practicată de sectorul bancar pentru creditele noi contractate în RON de către companiile private ar trebui să crească </w:t>
      </w:r>
      <w:r>
        <w:rPr>
          <w:rFonts w:ascii="Times New Roman" w:eastAsia="Calibri" w:hAnsi="Times New Roman" w:cs="Times New Roman"/>
          <w:color w:val="000000" w:themeColor="text1"/>
          <w:sz w:val="24"/>
          <w:szCs w:val="24"/>
        </w:rPr>
        <w:t xml:space="preserve">până la </w:t>
      </w:r>
      <w:r w:rsidRPr="00973DD2">
        <w:rPr>
          <w:rFonts w:ascii="Times New Roman" w:eastAsia="Calibri" w:hAnsi="Times New Roman" w:cs="Times New Roman"/>
          <w:color w:val="000000" w:themeColor="text1"/>
          <w:sz w:val="24"/>
          <w:szCs w:val="24"/>
        </w:rPr>
        <w:t>6%-8% pe parcursul anului curent</w:t>
      </w:r>
      <w:r>
        <w:rPr>
          <w:rFonts w:ascii="Times New Roman" w:eastAsia="Calibri" w:hAnsi="Times New Roman" w:cs="Times New Roman"/>
          <w:color w:val="000000" w:themeColor="text1"/>
          <w:sz w:val="24"/>
          <w:szCs w:val="24"/>
        </w:rPr>
        <w:t>,</w:t>
      </w:r>
      <w:r w:rsidRPr="00973DD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comparativ cu</w:t>
      </w:r>
      <w:r w:rsidRPr="00973DD2">
        <w:rPr>
          <w:rFonts w:ascii="Times New Roman" w:eastAsia="Calibri" w:hAnsi="Times New Roman" w:cs="Times New Roman"/>
          <w:color w:val="000000" w:themeColor="text1"/>
          <w:sz w:val="24"/>
          <w:szCs w:val="24"/>
        </w:rPr>
        <w:t xml:space="preserve"> o medie de 4,10% înreg</w:t>
      </w:r>
      <w:r>
        <w:rPr>
          <w:rFonts w:ascii="Times New Roman" w:eastAsia="Calibri" w:hAnsi="Times New Roman" w:cs="Times New Roman"/>
          <w:color w:val="000000" w:themeColor="text1"/>
          <w:sz w:val="24"/>
          <w:szCs w:val="24"/>
        </w:rPr>
        <w:t>istrată pe parcusul anului 2017</w:t>
      </w:r>
      <w:r w:rsidRPr="00973DD2">
        <w:rPr>
          <w:rFonts w:ascii="Times New Roman" w:eastAsia="Calibri" w:hAnsi="Times New Roman" w:cs="Times New Roman"/>
          <w:color w:val="000000" w:themeColor="text1"/>
          <w:sz w:val="24"/>
          <w:szCs w:val="24"/>
        </w:rPr>
        <w:t xml:space="preserve">. Având în vedere creșterea gradului de povară financiară în contextul creșterii costului de finanțare, </w:t>
      </w:r>
      <w:r w:rsidR="00B97F41">
        <w:rPr>
          <w:rFonts w:ascii="Times New Roman" w:eastAsia="Calibri" w:hAnsi="Times New Roman" w:cs="Times New Roman"/>
          <w:color w:val="000000" w:themeColor="text1"/>
          <w:sz w:val="24"/>
          <w:szCs w:val="24"/>
        </w:rPr>
        <w:t>există</w:t>
      </w:r>
      <w:r w:rsidRPr="00973DD2">
        <w:rPr>
          <w:rFonts w:ascii="Times New Roman" w:eastAsia="Calibri" w:hAnsi="Times New Roman" w:cs="Times New Roman"/>
          <w:color w:val="000000" w:themeColor="text1"/>
          <w:sz w:val="24"/>
          <w:szCs w:val="24"/>
        </w:rPr>
        <w:t xml:space="preserve"> companii care vor înregistra dificultăți în rambursarea creditelor contractate de la bănci. Un indicator foarte important care reflectă capacitatea unei companii de rambursare a serviciului datoriilor contractate este gradul de acoperire al dobânzilor prin  profitul operațional (eng. EBIT = Ear</w:t>
      </w:r>
      <w:r>
        <w:rPr>
          <w:rFonts w:ascii="Times New Roman" w:eastAsia="Calibri" w:hAnsi="Times New Roman" w:cs="Times New Roman"/>
          <w:color w:val="000000" w:themeColor="text1"/>
          <w:sz w:val="24"/>
          <w:szCs w:val="24"/>
        </w:rPr>
        <w:t xml:space="preserve">nings Before Interest and Tax). </w:t>
      </w:r>
      <w:r w:rsidRPr="00973DD2">
        <w:rPr>
          <w:rFonts w:ascii="Times New Roman" w:eastAsia="Calibri" w:hAnsi="Times New Roman" w:cs="Times New Roman"/>
          <w:color w:val="000000" w:themeColor="text1"/>
          <w:sz w:val="24"/>
          <w:szCs w:val="24"/>
        </w:rPr>
        <w:t>Normele de analiză financiară recomandă ca profitul operațional să acopere de cinci ori cheltuielile privind dobânzile, tocmai pentru a permite o profitabilitate finală competitivă chiar și în contextul creșterii costului de finanțare</w:t>
      </w:r>
      <w:r w:rsidR="00E551CF">
        <w:rPr>
          <w:rFonts w:ascii="Times New Roman" w:eastAsia="Calibri" w:hAnsi="Times New Roman" w:cs="Times New Roman"/>
          <w:color w:val="000000" w:themeColor="text1"/>
          <w:sz w:val="24"/>
          <w:szCs w:val="24"/>
        </w:rPr>
        <w:t>.</w:t>
      </w:r>
      <w:r w:rsidR="00502D47">
        <w:rPr>
          <w:rFonts w:ascii="Times New Roman" w:eastAsia="Calibri" w:hAnsi="Times New Roman" w:cs="Times New Roman"/>
          <w:color w:val="000000" w:themeColor="text1"/>
          <w:sz w:val="24"/>
          <w:szCs w:val="24"/>
        </w:rPr>
        <w:t xml:space="preserve"> M</w:t>
      </w:r>
      <w:r w:rsidR="00502D47" w:rsidRPr="00973DD2">
        <w:rPr>
          <w:rFonts w:ascii="Times New Roman" w:eastAsia="Calibri" w:hAnsi="Times New Roman" w:cs="Times New Roman"/>
          <w:color w:val="000000" w:themeColor="text1"/>
          <w:sz w:val="24"/>
          <w:szCs w:val="24"/>
        </w:rPr>
        <w:t>edia acestui indicator pentru întreg mediul de afaceri activ în România este foarte aproape de acest prag în anul 2016, respectiv 5,1</w:t>
      </w:r>
      <w:r w:rsidR="00502D47">
        <w:rPr>
          <w:rFonts w:ascii="Times New Roman" w:eastAsia="Calibri" w:hAnsi="Times New Roman" w:cs="Times New Roman"/>
          <w:color w:val="000000" w:themeColor="text1"/>
          <w:sz w:val="24"/>
          <w:szCs w:val="24"/>
        </w:rPr>
        <w:t xml:space="preserve">. Așa cum am arătat în articolul anterior, </w:t>
      </w:r>
      <w:r w:rsidR="00181FDA" w:rsidRPr="00973DD2">
        <w:rPr>
          <w:rFonts w:ascii="Times New Roman" w:eastAsia="Calibri" w:hAnsi="Times New Roman" w:cs="Times New Roman"/>
          <w:color w:val="000000" w:themeColor="text1"/>
          <w:sz w:val="24"/>
          <w:szCs w:val="24"/>
        </w:rPr>
        <w:t>o parte dintre companii se vor regăsi într-o situație foarte delicată</w:t>
      </w:r>
      <w:r w:rsidR="00181FDA">
        <w:rPr>
          <w:rFonts w:ascii="Times New Roman" w:eastAsia="Calibri" w:hAnsi="Times New Roman" w:cs="Times New Roman"/>
          <w:color w:val="000000" w:themeColor="text1"/>
          <w:sz w:val="24"/>
          <w:szCs w:val="24"/>
        </w:rPr>
        <w:t xml:space="preserve"> în anul curent</w:t>
      </w:r>
      <w:r w:rsidR="00181FDA" w:rsidRPr="00973DD2">
        <w:rPr>
          <w:rFonts w:ascii="Times New Roman" w:eastAsia="Calibri" w:hAnsi="Times New Roman" w:cs="Times New Roman"/>
          <w:color w:val="000000" w:themeColor="text1"/>
          <w:sz w:val="24"/>
          <w:szCs w:val="24"/>
        </w:rPr>
        <w:t>, în condițiile în care profitul operațional va deveni insuficient pentru acoperirea dobânzilor aferente creditelor contractate. Mai exact, numărul companiilor cu risc major de insolvență va crește de la 15%</w:t>
      </w:r>
      <w:r w:rsidR="00181FDA">
        <w:rPr>
          <w:rFonts w:ascii="Times New Roman" w:eastAsia="Calibri" w:hAnsi="Times New Roman" w:cs="Times New Roman"/>
          <w:color w:val="000000" w:themeColor="text1"/>
          <w:sz w:val="24"/>
          <w:szCs w:val="24"/>
        </w:rPr>
        <w:t xml:space="preserve"> (anul 2016) la 32% (la o dobândă medie practicată companiilor de 6%</w:t>
      </w:r>
      <w:r w:rsidR="00181FDA" w:rsidRPr="00973DD2">
        <w:rPr>
          <w:rFonts w:ascii="Times New Roman" w:eastAsia="Calibri" w:hAnsi="Times New Roman" w:cs="Times New Roman"/>
          <w:color w:val="000000" w:themeColor="text1"/>
          <w:sz w:val="24"/>
          <w:szCs w:val="24"/>
        </w:rPr>
        <w:t>), 35% (</w:t>
      </w:r>
      <w:r w:rsidR="00181FDA">
        <w:rPr>
          <w:rFonts w:ascii="Times New Roman" w:eastAsia="Calibri" w:hAnsi="Times New Roman" w:cs="Times New Roman"/>
          <w:color w:val="000000" w:themeColor="text1"/>
          <w:sz w:val="24"/>
          <w:szCs w:val="24"/>
        </w:rPr>
        <w:t>la o dobândă medie practicată companiilor de 7%)</w:t>
      </w:r>
      <w:r w:rsidR="00181FDA" w:rsidRPr="00973DD2">
        <w:rPr>
          <w:rFonts w:ascii="Times New Roman" w:eastAsia="Calibri" w:hAnsi="Times New Roman" w:cs="Times New Roman"/>
          <w:color w:val="000000" w:themeColor="text1"/>
          <w:sz w:val="24"/>
          <w:szCs w:val="24"/>
        </w:rPr>
        <w:t xml:space="preserve"> respectiv 39% (</w:t>
      </w:r>
      <w:r w:rsidR="00181FDA">
        <w:rPr>
          <w:rFonts w:ascii="Times New Roman" w:eastAsia="Calibri" w:hAnsi="Times New Roman" w:cs="Times New Roman"/>
          <w:color w:val="000000" w:themeColor="text1"/>
          <w:sz w:val="24"/>
          <w:szCs w:val="24"/>
        </w:rPr>
        <w:t>la o dobândă medie practicată companiilor de 8%</w:t>
      </w:r>
      <w:r w:rsidR="00181FDA" w:rsidRPr="00973DD2">
        <w:rPr>
          <w:rFonts w:ascii="Times New Roman" w:eastAsia="Calibri" w:hAnsi="Times New Roman" w:cs="Times New Roman"/>
          <w:color w:val="000000" w:themeColor="text1"/>
          <w:sz w:val="24"/>
          <w:szCs w:val="24"/>
        </w:rPr>
        <w:t>).</w:t>
      </w:r>
    </w:p>
    <w:p w:rsidR="00235059" w:rsidRDefault="008B6A97" w:rsidP="00E6127C">
      <w:pPr>
        <w:jc w:val="both"/>
        <w:rPr>
          <w:rFonts w:ascii="Times New Roman" w:hAnsi="Times New Roman" w:cs="Times New Roman"/>
          <w:color w:val="000000" w:themeColor="text1"/>
          <w:sz w:val="24"/>
          <w:szCs w:val="24"/>
          <w:lang w:val="en-US"/>
        </w:rPr>
      </w:pPr>
      <w:proofErr w:type="spellStart"/>
      <w:r w:rsidRPr="00B013A8">
        <w:rPr>
          <w:rFonts w:ascii="Times New Roman" w:hAnsi="Times New Roman" w:cs="Times New Roman"/>
          <w:b/>
          <w:color w:val="000000" w:themeColor="text1"/>
          <w:sz w:val="24"/>
          <w:szCs w:val="24"/>
          <w:lang w:val="en-US"/>
        </w:rPr>
        <w:t>În</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acest</w:t>
      </w:r>
      <w:proofErr w:type="spellEnd"/>
      <w:r w:rsidRPr="00B013A8">
        <w:rPr>
          <w:rFonts w:ascii="Times New Roman" w:hAnsi="Times New Roman" w:cs="Times New Roman"/>
          <w:b/>
          <w:color w:val="000000" w:themeColor="text1"/>
          <w:sz w:val="24"/>
          <w:szCs w:val="24"/>
          <w:lang w:val="en-US"/>
        </w:rPr>
        <w:t xml:space="preserve"> context, </w:t>
      </w:r>
      <w:proofErr w:type="spellStart"/>
      <w:r w:rsidRPr="00B013A8">
        <w:rPr>
          <w:rFonts w:ascii="Times New Roman" w:hAnsi="Times New Roman" w:cs="Times New Roman"/>
          <w:b/>
          <w:color w:val="000000" w:themeColor="text1"/>
          <w:sz w:val="24"/>
          <w:szCs w:val="24"/>
          <w:lang w:val="en-US"/>
        </w:rPr>
        <w:t>este</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foarte</w:t>
      </w:r>
      <w:proofErr w:type="spellEnd"/>
      <w:r w:rsidRPr="00B013A8">
        <w:rPr>
          <w:rFonts w:ascii="Times New Roman" w:hAnsi="Times New Roman" w:cs="Times New Roman"/>
          <w:b/>
          <w:color w:val="000000" w:themeColor="text1"/>
          <w:sz w:val="24"/>
          <w:szCs w:val="24"/>
          <w:lang w:val="en-US"/>
        </w:rPr>
        <w:t xml:space="preserve"> important </w:t>
      </w:r>
      <w:proofErr w:type="spellStart"/>
      <w:r w:rsidRPr="00B013A8">
        <w:rPr>
          <w:rFonts w:ascii="Times New Roman" w:hAnsi="Times New Roman" w:cs="Times New Roman"/>
          <w:b/>
          <w:color w:val="000000" w:themeColor="text1"/>
          <w:sz w:val="24"/>
          <w:szCs w:val="24"/>
          <w:lang w:val="en-US"/>
        </w:rPr>
        <w:t>să</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distingem</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între</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cauză</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și</w:t>
      </w:r>
      <w:proofErr w:type="spellEnd"/>
      <w:r w:rsidRPr="00B013A8">
        <w:rPr>
          <w:rFonts w:ascii="Times New Roman" w:hAnsi="Times New Roman" w:cs="Times New Roman"/>
          <w:b/>
          <w:color w:val="000000" w:themeColor="text1"/>
          <w:sz w:val="24"/>
          <w:szCs w:val="24"/>
          <w:lang w:val="en-US"/>
        </w:rPr>
        <w:t xml:space="preserve"> </w:t>
      </w:r>
      <w:proofErr w:type="spellStart"/>
      <w:r w:rsidRPr="00B013A8">
        <w:rPr>
          <w:rFonts w:ascii="Times New Roman" w:hAnsi="Times New Roman" w:cs="Times New Roman"/>
          <w:b/>
          <w:color w:val="000000" w:themeColor="text1"/>
          <w:sz w:val="24"/>
          <w:szCs w:val="24"/>
          <w:lang w:val="en-US"/>
        </w:rPr>
        <w:t>efect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Dificultățile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companiilor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vor</w:t>
      </w:r>
      <w:proofErr w:type="spellEnd"/>
      <w:r>
        <w:rPr>
          <w:rFonts w:ascii="Times New Roman" w:hAnsi="Times New Roman" w:cs="Times New Roman"/>
          <w:color w:val="000000" w:themeColor="text1"/>
          <w:sz w:val="24"/>
          <w:szCs w:val="24"/>
          <w:lang w:val="en-US"/>
        </w:rPr>
        <w:t xml:space="preserve"> fi </w:t>
      </w:r>
      <w:proofErr w:type="spellStart"/>
      <w:r>
        <w:rPr>
          <w:rFonts w:ascii="Times New Roman" w:hAnsi="Times New Roman" w:cs="Times New Roman"/>
          <w:color w:val="000000" w:themeColor="text1"/>
          <w:sz w:val="24"/>
          <w:szCs w:val="24"/>
          <w:lang w:val="en-US"/>
        </w:rPr>
        <w:t>cauzate</w:t>
      </w:r>
      <w:proofErr w:type="spellEnd"/>
      <w:r>
        <w:rPr>
          <w:rFonts w:ascii="Times New Roman" w:hAnsi="Times New Roman" w:cs="Times New Roman"/>
          <w:color w:val="000000" w:themeColor="text1"/>
          <w:sz w:val="24"/>
          <w:szCs w:val="24"/>
          <w:lang w:val="en-US"/>
        </w:rPr>
        <w:t xml:space="preserve"> de </w:t>
      </w:r>
      <w:proofErr w:type="spellStart"/>
      <w:r>
        <w:rPr>
          <w:rFonts w:ascii="Times New Roman" w:hAnsi="Times New Roman" w:cs="Times New Roman"/>
          <w:color w:val="000000" w:themeColor="text1"/>
          <w:sz w:val="24"/>
          <w:szCs w:val="24"/>
          <w:lang w:val="en-US"/>
        </w:rPr>
        <w:t>majorarea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dobânzilor</w:t>
      </w:r>
      <w:proofErr w:type="spellEnd"/>
      <w:r w:rsidR="008271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problemele</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acestora</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sunt</w:t>
      </w:r>
      <w:proofErr w:type="spellEnd"/>
      <w:r w:rsidR="008A0965">
        <w:rPr>
          <w:rFonts w:ascii="Times New Roman" w:hAnsi="Times New Roman" w:cs="Times New Roman"/>
          <w:color w:val="000000" w:themeColor="text1"/>
          <w:sz w:val="24"/>
          <w:szCs w:val="24"/>
          <w:lang w:val="en-US"/>
        </w:rPr>
        <w:t xml:space="preserve"> </w:t>
      </w:r>
      <w:r w:rsidR="004A7A2D">
        <w:rPr>
          <w:rFonts w:ascii="Times New Roman" w:hAnsi="Times New Roman" w:cs="Times New Roman"/>
          <w:color w:val="000000" w:themeColor="text1"/>
          <w:sz w:val="24"/>
          <w:szCs w:val="24"/>
          <w:lang w:val="en-US"/>
        </w:rPr>
        <w:t xml:space="preserve">de </w:t>
      </w:r>
      <w:proofErr w:type="spellStart"/>
      <w:r w:rsidR="004A7A2D">
        <w:rPr>
          <w:rFonts w:ascii="Times New Roman" w:hAnsi="Times New Roman" w:cs="Times New Roman"/>
          <w:color w:val="000000" w:themeColor="text1"/>
          <w:sz w:val="24"/>
          <w:szCs w:val="24"/>
          <w:lang w:val="en-US"/>
        </w:rPr>
        <w:t>natură</w:t>
      </w:r>
      <w:proofErr w:type="spellEnd"/>
      <w:r w:rsidR="004A7A2D">
        <w:rPr>
          <w:rFonts w:ascii="Times New Roman" w:hAnsi="Times New Roman" w:cs="Times New Roman"/>
          <w:color w:val="000000" w:themeColor="text1"/>
          <w:sz w:val="24"/>
          <w:szCs w:val="24"/>
          <w:lang w:val="en-US"/>
        </w:rPr>
        <w:t xml:space="preserve"> </w:t>
      </w:r>
      <w:proofErr w:type="spellStart"/>
      <w:r w:rsidR="004A7A2D">
        <w:rPr>
          <w:rFonts w:ascii="Times New Roman" w:hAnsi="Times New Roman" w:cs="Times New Roman"/>
          <w:color w:val="000000" w:themeColor="text1"/>
          <w:sz w:val="24"/>
          <w:szCs w:val="24"/>
          <w:lang w:val="en-US"/>
        </w:rPr>
        <w:t>intrinsecă</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referitoare</w:t>
      </w:r>
      <w:proofErr w:type="spellEnd"/>
      <w:r w:rsidR="008A0965">
        <w:rPr>
          <w:rFonts w:ascii="Times New Roman" w:hAnsi="Times New Roman" w:cs="Times New Roman"/>
          <w:color w:val="000000" w:themeColor="text1"/>
          <w:sz w:val="24"/>
          <w:szCs w:val="24"/>
          <w:lang w:val="en-US"/>
        </w:rPr>
        <w:t xml:space="preserve"> la </w:t>
      </w:r>
      <w:proofErr w:type="spellStart"/>
      <w:r w:rsidR="00827199">
        <w:rPr>
          <w:rFonts w:ascii="Times New Roman" w:hAnsi="Times New Roman" w:cs="Times New Roman"/>
          <w:color w:val="000000" w:themeColor="text1"/>
          <w:sz w:val="24"/>
          <w:szCs w:val="24"/>
          <w:lang w:val="en-US"/>
        </w:rPr>
        <w:t>eficiența</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investițiilor</w:t>
      </w:r>
      <w:proofErr w:type="spellEnd"/>
      <w:r w:rsidR="00827199">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strategie</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dezvoltarea</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resursei</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umane</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calitatea</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serviciilor</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sau</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produselor</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oferite</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poziționarea</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pe</w:t>
      </w:r>
      <w:proofErr w:type="spellEnd"/>
      <w:r w:rsidR="008A0965">
        <w:rPr>
          <w:rFonts w:ascii="Times New Roman" w:hAnsi="Times New Roman" w:cs="Times New Roman"/>
          <w:color w:val="000000" w:themeColor="text1"/>
          <w:sz w:val="24"/>
          <w:szCs w:val="24"/>
          <w:lang w:val="en-US"/>
        </w:rPr>
        <w:t xml:space="preserve"> </w:t>
      </w:r>
      <w:proofErr w:type="spellStart"/>
      <w:r w:rsidR="008A0965">
        <w:rPr>
          <w:rFonts w:ascii="Times New Roman" w:hAnsi="Times New Roman" w:cs="Times New Roman"/>
          <w:color w:val="000000" w:themeColor="text1"/>
          <w:sz w:val="24"/>
          <w:szCs w:val="24"/>
          <w:lang w:val="en-US"/>
        </w:rPr>
        <w:t>piață</w:t>
      </w:r>
      <w:proofErr w:type="spellEnd"/>
      <w:r w:rsidR="008A0965">
        <w:rPr>
          <w:rFonts w:ascii="Times New Roman" w:hAnsi="Times New Roman" w:cs="Times New Roman"/>
          <w:color w:val="000000" w:themeColor="text1"/>
          <w:sz w:val="24"/>
          <w:szCs w:val="24"/>
          <w:lang w:val="en-US"/>
        </w:rPr>
        <w:t xml:space="preserve"> etc.)</w:t>
      </w:r>
      <w:r w:rsidR="0087570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sidR="008A0965" w:rsidRPr="0087570E">
        <w:rPr>
          <w:rFonts w:ascii="Times New Roman" w:hAnsi="Times New Roman" w:cs="Times New Roman"/>
          <w:b/>
          <w:color w:val="000000" w:themeColor="text1"/>
          <w:sz w:val="24"/>
          <w:szCs w:val="24"/>
          <w:lang w:val="en-US"/>
        </w:rPr>
        <w:t>Exist</w:t>
      </w:r>
      <w:r w:rsidR="00827199" w:rsidRPr="0087570E">
        <w:rPr>
          <w:rFonts w:ascii="Times New Roman" w:hAnsi="Times New Roman" w:cs="Times New Roman"/>
          <w:b/>
          <w:color w:val="000000" w:themeColor="text1"/>
          <w:sz w:val="24"/>
          <w:szCs w:val="24"/>
          <w:lang w:val="en-US"/>
        </w:rPr>
        <w:t>ă</w:t>
      </w:r>
      <w:proofErr w:type="spellEnd"/>
      <w:r w:rsidR="008A0965" w:rsidRPr="0087570E">
        <w:rPr>
          <w:rFonts w:ascii="Times New Roman" w:hAnsi="Times New Roman" w:cs="Times New Roman"/>
          <w:b/>
          <w:color w:val="000000" w:themeColor="text1"/>
          <w:sz w:val="24"/>
          <w:szCs w:val="24"/>
          <w:lang w:val="en-US"/>
        </w:rPr>
        <w:t xml:space="preserve"> un </w:t>
      </w:r>
      <w:proofErr w:type="spellStart"/>
      <w:r w:rsidR="008A0965" w:rsidRPr="0087570E">
        <w:rPr>
          <w:rFonts w:ascii="Times New Roman" w:hAnsi="Times New Roman" w:cs="Times New Roman"/>
          <w:b/>
          <w:color w:val="000000" w:themeColor="text1"/>
          <w:sz w:val="24"/>
          <w:szCs w:val="24"/>
          <w:lang w:val="en-US"/>
        </w:rPr>
        <w:t>mit</w:t>
      </w:r>
      <w:proofErr w:type="spellEnd"/>
      <w:r w:rsidR="008A0965" w:rsidRPr="0087570E">
        <w:rPr>
          <w:rFonts w:ascii="Times New Roman" w:hAnsi="Times New Roman" w:cs="Times New Roman"/>
          <w:b/>
          <w:color w:val="000000" w:themeColor="text1"/>
          <w:sz w:val="24"/>
          <w:szCs w:val="24"/>
          <w:lang w:val="en-US"/>
        </w:rPr>
        <w:t xml:space="preserve"> </w:t>
      </w:r>
      <w:proofErr w:type="spellStart"/>
      <w:r w:rsidR="008A0965" w:rsidRPr="0087570E">
        <w:rPr>
          <w:rFonts w:ascii="Times New Roman" w:hAnsi="Times New Roman" w:cs="Times New Roman"/>
          <w:b/>
          <w:color w:val="000000" w:themeColor="text1"/>
          <w:sz w:val="24"/>
          <w:szCs w:val="24"/>
          <w:lang w:val="en-US"/>
        </w:rPr>
        <w:t>î</w:t>
      </w:r>
      <w:r w:rsidRPr="0087570E">
        <w:rPr>
          <w:rFonts w:ascii="Times New Roman" w:hAnsi="Times New Roman" w:cs="Times New Roman"/>
          <w:b/>
          <w:color w:val="000000" w:themeColor="text1"/>
          <w:sz w:val="24"/>
          <w:szCs w:val="24"/>
          <w:lang w:val="en-US"/>
        </w:rPr>
        <w:t>n</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politicile</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monetare</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și</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publice</w:t>
      </w:r>
      <w:proofErr w:type="spellEnd"/>
      <w:r w:rsidRPr="0087570E">
        <w:rPr>
          <w:rFonts w:ascii="Times New Roman" w:hAnsi="Times New Roman" w:cs="Times New Roman"/>
          <w:b/>
          <w:color w:val="000000" w:themeColor="text1"/>
          <w:sz w:val="24"/>
          <w:szCs w:val="24"/>
          <w:lang w:val="en-US"/>
        </w:rPr>
        <w:t xml:space="preserve"> conform </w:t>
      </w:r>
      <w:proofErr w:type="spellStart"/>
      <w:r w:rsidRPr="0087570E">
        <w:rPr>
          <w:rFonts w:ascii="Times New Roman" w:hAnsi="Times New Roman" w:cs="Times New Roman"/>
          <w:b/>
          <w:color w:val="000000" w:themeColor="text1"/>
          <w:sz w:val="24"/>
          <w:szCs w:val="24"/>
          <w:lang w:val="en-US"/>
        </w:rPr>
        <w:t>căruia</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firmele</w:t>
      </w:r>
      <w:proofErr w:type="spellEnd"/>
      <w:r w:rsidRPr="0087570E">
        <w:rPr>
          <w:rFonts w:ascii="Times New Roman" w:hAnsi="Times New Roman" w:cs="Times New Roman"/>
          <w:b/>
          <w:color w:val="000000" w:themeColor="text1"/>
          <w:sz w:val="24"/>
          <w:szCs w:val="24"/>
          <w:lang w:val="en-US"/>
        </w:rPr>
        <w:t xml:space="preserve"> au </w:t>
      </w:r>
      <w:proofErr w:type="spellStart"/>
      <w:r w:rsidRPr="0087570E">
        <w:rPr>
          <w:rFonts w:ascii="Times New Roman" w:hAnsi="Times New Roman" w:cs="Times New Roman"/>
          <w:b/>
          <w:color w:val="000000" w:themeColor="text1"/>
          <w:sz w:val="24"/>
          <w:szCs w:val="24"/>
          <w:lang w:val="en-US"/>
        </w:rPr>
        <w:t>nevoie</w:t>
      </w:r>
      <w:proofErr w:type="spellEnd"/>
      <w:r w:rsidRPr="0087570E">
        <w:rPr>
          <w:rFonts w:ascii="Times New Roman" w:hAnsi="Times New Roman" w:cs="Times New Roman"/>
          <w:b/>
          <w:color w:val="000000" w:themeColor="text1"/>
          <w:sz w:val="24"/>
          <w:szCs w:val="24"/>
          <w:lang w:val="en-US"/>
        </w:rPr>
        <w:t xml:space="preserve"> de </w:t>
      </w:r>
      <w:proofErr w:type="spellStart"/>
      <w:r w:rsidRPr="0087570E">
        <w:rPr>
          <w:rFonts w:ascii="Times New Roman" w:hAnsi="Times New Roman" w:cs="Times New Roman"/>
          <w:b/>
          <w:color w:val="000000" w:themeColor="text1"/>
          <w:sz w:val="24"/>
          <w:szCs w:val="24"/>
          <w:lang w:val="en-US"/>
        </w:rPr>
        <w:t>acces</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facil</w:t>
      </w:r>
      <w:proofErr w:type="spellEnd"/>
      <w:r w:rsidRPr="0087570E">
        <w:rPr>
          <w:rFonts w:ascii="Times New Roman" w:hAnsi="Times New Roman" w:cs="Times New Roman"/>
          <w:b/>
          <w:color w:val="000000" w:themeColor="text1"/>
          <w:sz w:val="24"/>
          <w:szCs w:val="24"/>
          <w:lang w:val="en-US"/>
        </w:rPr>
        <w:t xml:space="preserve"> la </w:t>
      </w:r>
      <w:proofErr w:type="spellStart"/>
      <w:r w:rsidRPr="0087570E">
        <w:rPr>
          <w:rFonts w:ascii="Times New Roman" w:hAnsi="Times New Roman" w:cs="Times New Roman"/>
          <w:b/>
          <w:color w:val="000000" w:themeColor="text1"/>
          <w:sz w:val="24"/>
          <w:szCs w:val="24"/>
          <w:lang w:val="en-US"/>
        </w:rPr>
        <w:t>finanțare</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ieftină</w:t>
      </w:r>
      <w:proofErr w:type="spellEnd"/>
      <w:r w:rsidRPr="0087570E">
        <w:rPr>
          <w:rFonts w:ascii="Times New Roman" w:hAnsi="Times New Roman" w:cs="Times New Roman"/>
          <w:b/>
          <w:color w:val="000000" w:themeColor="text1"/>
          <w:sz w:val="24"/>
          <w:szCs w:val="24"/>
          <w:lang w:val="en-US"/>
        </w:rPr>
        <w:t xml:space="preserve"> </w:t>
      </w:r>
      <w:proofErr w:type="spellStart"/>
      <w:r w:rsidRPr="0087570E">
        <w:rPr>
          <w:rFonts w:ascii="Times New Roman" w:hAnsi="Times New Roman" w:cs="Times New Roman"/>
          <w:b/>
          <w:color w:val="000000" w:themeColor="text1"/>
          <w:sz w:val="24"/>
          <w:szCs w:val="24"/>
          <w:lang w:val="en-US"/>
        </w:rPr>
        <w:t>p</w:t>
      </w:r>
      <w:r w:rsidR="008A0965" w:rsidRPr="0087570E">
        <w:rPr>
          <w:rFonts w:ascii="Times New Roman" w:hAnsi="Times New Roman" w:cs="Times New Roman"/>
          <w:b/>
          <w:color w:val="000000" w:themeColor="text1"/>
          <w:sz w:val="24"/>
          <w:szCs w:val="24"/>
          <w:lang w:val="en-US"/>
        </w:rPr>
        <w:t>entru</w:t>
      </w:r>
      <w:proofErr w:type="spellEnd"/>
      <w:r w:rsidR="008A0965" w:rsidRPr="0087570E">
        <w:rPr>
          <w:rFonts w:ascii="Times New Roman" w:hAnsi="Times New Roman" w:cs="Times New Roman"/>
          <w:b/>
          <w:color w:val="000000" w:themeColor="text1"/>
          <w:sz w:val="24"/>
          <w:szCs w:val="24"/>
          <w:lang w:val="en-US"/>
        </w:rPr>
        <w:t xml:space="preserve"> </w:t>
      </w:r>
      <w:proofErr w:type="spellStart"/>
      <w:r w:rsidR="008A0965" w:rsidRPr="0087570E">
        <w:rPr>
          <w:rFonts w:ascii="Times New Roman" w:hAnsi="Times New Roman" w:cs="Times New Roman"/>
          <w:b/>
          <w:color w:val="000000" w:themeColor="text1"/>
          <w:sz w:val="24"/>
          <w:szCs w:val="24"/>
          <w:lang w:val="en-US"/>
        </w:rPr>
        <w:t>încurajarea</w:t>
      </w:r>
      <w:proofErr w:type="spellEnd"/>
      <w:r w:rsidR="008A0965" w:rsidRPr="0087570E">
        <w:rPr>
          <w:rFonts w:ascii="Times New Roman" w:hAnsi="Times New Roman" w:cs="Times New Roman"/>
          <w:b/>
          <w:color w:val="000000" w:themeColor="text1"/>
          <w:sz w:val="24"/>
          <w:szCs w:val="24"/>
          <w:lang w:val="en-US"/>
        </w:rPr>
        <w:t xml:space="preserve"> </w:t>
      </w:r>
      <w:proofErr w:type="spellStart"/>
      <w:r w:rsidR="008A0965" w:rsidRPr="0087570E">
        <w:rPr>
          <w:rFonts w:ascii="Times New Roman" w:hAnsi="Times New Roman" w:cs="Times New Roman"/>
          <w:b/>
          <w:color w:val="000000" w:themeColor="text1"/>
          <w:sz w:val="24"/>
          <w:szCs w:val="24"/>
          <w:lang w:val="en-US"/>
        </w:rPr>
        <w:t>investițiilor</w:t>
      </w:r>
      <w:proofErr w:type="spellEnd"/>
      <w:r w:rsidR="008A0965">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Aceasta</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este</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și</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piatra</w:t>
      </w:r>
      <w:proofErr w:type="spellEnd"/>
      <w:r w:rsidR="00827199">
        <w:rPr>
          <w:rFonts w:ascii="Times New Roman" w:hAnsi="Times New Roman" w:cs="Times New Roman"/>
          <w:color w:val="000000" w:themeColor="text1"/>
          <w:sz w:val="24"/>
          <w:szCs w:val="24"/>
          <w:lang w:val="en-US"/>
        </w:rPr>
        <w:t xml:space="preserve"> de </w:t>
      </w:r>
      <w:proofErr w:type="spellStart"/>
      <w:r w:rsidR="00827199">
        <w:rPr>
          <w:rFonts w:ascii="Times New Roman" w:hAnsi="Times New Roman" w:cs="Times New Roman"/>
          <w:color w:val="000000" w:themeColor="text1"/>
          <w:sz w:val="24"/>
          <w:szCs w:val="24"/>
          <w:lang w:val="en-US"/>
        </w:rPr>
        <w:t>temelie</w:t>
      </w:r>
      <w:proofErr w:type="spellEnd"/>
      <w:r w:rsidR="00827199">
        <w:rPr>
          <w:rFonts w:ascii="Times New Roman" w:hAnsi="Times New Roman" w:cs="Times New Roman"/>
          <w:color w:val="000000" w:themeColor="text1"/>
          <w:sz w:val="24"/>
          <w:szCs w:val="24"/>
          <w:lang w:val="en-US"/>
        </w:rPr>
        <w:t xml:space="preserve"> a </w:t>
      </w:r>
      <w:proofErr w:type="spellStart"/>
      <w:r w:rsidR="00827199">
        <w:rPr>
          <w:rFonts w:ascii="Times New Roman" w:hAnsi="Times New Roman" w:cs="Times New Roman"/>
          <w:color w:val="000000" w:themeColor="text1"/>
          <w:sz w:val="24"/>
          <w:szCs w:val="24"/>
          <w:lang w:val="en-US"/>
        </w:rPr>
        <w:t>programului</w:t>
      </w:r>
      <w:proofErr w:type="spellEnd"/>
      <w:r w:rsidR="00827199">
        <w:rPr>
          <w:rFonts w:ascii="Times New Roman" w:hAnsi="Times New Roman" w:cs="Times New Roman"/>
          <w:color w:val="000000" w:themeColor="text1"/>
          <w:sz w:val="24"/>
          <w:szCs w:val="24"/>
          <w:lang w:val="en-US"/>
        </w:rPr>
        <w:t xml:space="preserve"> QE (Quantitative Easing) </w:t>
      </w:r>
      <w:proofErr w:type="spellStart"/>
      <w:r w:rsidR="00827199">
        <w:rPr>
          <w:rFonts w:ascii="Times New Roman" w:hAnsi="Times New Roman" w:cs="Times New Roman"/>
          <w:color w:val="000000" w:themeColor="text1"/>
          <w:sz w:val="24"/>
          <w:szCs w:val="24"/>
          <w:lang w:val="en-US"/>
        </w:rPr>
        <w:t>promovat</w:t>
      </w:r>
      <w:proofErr w:type="spellEnd"/>
      <w:r w:rsidR="00827199">
        <w:rPr>
          <w:rFonts w:ascii="Times New Roman" w:hAnsi="Times New Roman" w:cs="Times New Roman"/>
          <w:color w:val="000000" w:themeColor="text1"/>
          <w:sz w:val="24"/>
          <w:szCs w:val="24"/>
          <w:lang w:val="en-US"/>
        </w:rPr>
        <w:t xml:space="preserve"> de BCE (Banca </w:t>
      </w:r>
      <w:proofErr w:type="spellStart"/>
      <w:r w:rsidR="00827199">
        <w:rPr>
          <w:rFonts w:ascii="Times New Roman" w:hAnsi="Times New Roman" w:cs="Times New Roman"/>
          <w:color w:val="000000" w:themeColor="text1"/>
          <w:sz w:val="24"/>
          <w:szCs w:val="24"/>
          <w:lang w:val="en-US"/>
        </w:rPr>
        <w:t>Centrală</w:t>
      </w:r>
      <w:proofErr w:type="spellEnd"/>
      <w:r w:rsidR="00827199">
        <w:rPr>
          <w:rFonts w:ascii="Times New Roman" w:hAnsi="Times New Roman" w:cs="Times New Roman"/>
          <w:color w:val="000000" w:themeColor="text1"/>
          <w:sz w:val="24"/>
          <w:szCs w:val="24"/>
          <w:lang w:val="en-US"/>
        </w:rPr>
        <w:t xml:space="preserve"> </w:t>
      </w:r>
      <w:proofErr w:type="spellStart"/>
      <w:r w:rsidR="00827199">
        <w:rPr>
          <w:rFonts w:ascii="Times New Roman" w:hAnsi="Times New Roman" w:cs="Times New Roman"/>
          <w:color w:val="000000" w:themeColor="text1"/>
          <w:sz w:val="24"/>
          <w:szCs w:val="24"/>
          <w:lang w:val="en-US"/>
        </w:rPr>
        <w:t>Europeană</w:t>
      </w:r>
      <w:proofErr w:type="spellEnd"/>
      <w:r w:rsidR="00827199">
        <w:rPr>
          <w:rFonts w:ascii="Times New Roman" w:hAnsi="Times New Roman" w:cs="Times New Roman"/>
          <w:color w:val="000000" w:themeColor="text1"/>
          <w:sz w:val="24"/>
          <w:szCs w:val="24"/>
          <w:lang w:val="en-US"/>
        </w:rPr>
        <w:t xml:space="preserve">), </w:t>
      </w:r>
      <w:proofErr w:type="spellStart"/>
      <w:r w:rsidR="00AA130B">
        <w:rPr>
          <w:rFonts w:ascii="Times New Roman" w:hAnsi="Times New Roman" w:cs="Times New Roman"/>
          <w:color w:val="000000" w:themeColor="text1"/>
          <w:sz w:val="24"/>
          <w:szCs w:val="24"/>
          <w:lang w:val="en-US"/>
        </w:rPr>
        <w:t>prin</w:t>
      </w:r>
      <w:proofErr w:type="spellEnd"/>
      <w:r w:rsidR="00AA130B">
        <w:rPr>
          <w:rFonts w:ascii="Times New Roman" w:hAnsi="Times New Roman" w:cs="Times New Roman"/>
          <w:color w:val="000000" w:themeColor="text1"/>
          <w:sz w:val="24"/>
          <w:szCs w:val="24"/>
          <w:lang w:val="en-US"/>
        </w:rPr>
        <w:t xml:space="preserve"> care </w:t>
      </w:r>
      <w:proofErr w:type="spellStart"/>
      <w:r w:rsidR="00AA130B">
        <w:rPr>
          <w:rFonts w:ascii="Times New Roman" w:hAnsi="Times New Roman" w:cs="Times New Roman"/>
          <w:color w:val="000000" w:themeColor="text1"/>
          <w:sz w:val="24"/>
          <w:szCs w:val="24"/>
          <w:lang w:val="en-US"/>
        </w:rPr>
        <w:t>aproape</w:t>
      </w:r>
      <w:proofErr w:type="spellEnd"/>
      <w:r w:rsidR="00AA130B">
        <w:rPr>
          <w:rFonts w:ascii="Times New Roman" w:hAnsi="Times New Roman" w:cs="Times New Roman"/>
          <w:color w:val="000000" w:themeColor="text1"/>
          <w:sz w:val="24"/>
          <w:szCs w:val="24"/>
          <w:lang w:val="en-US"/>
        </w:rPr>
        <w:t xml:space="preserve"> 2.500 de </w:t>
      </w:r>
      <w:proofErr w:type="spellStart"/>
      <w:r w:rsidR="00AA130B">
        <w:rPr>
          <w:rFonts w:ascii="Times New Roman" w:hAnsi="Times New Roman" w:cs="Times New Roman"/>
          <w:color w:val="000000" w:themeColor="text1"/>
          <w:sz w:val="24"/>
          <w:szCs w:val="24"/>
          <w:lang w:val="en-US"/>
        </w:rPr>
        <w:t>miliarde</w:t>
      </w:r>
      <w:proofErr w:type="spellEnd"/>
      <w:r w:rsidR="00AA130B">
        <w:rPr>
          <w:rFonts w:ascii="Times New Roman" w:hAnsi="Times New Roman" w:cs="Times New Roman"/>
          <w:color w:val="000000" w:themeColor="text1"/>
          <w:sz w:val="24"/>
          <w:szCs w:val="24"/>
          <w:lang w:val="en-US"/>
        </w:rPr>
        <w:t xml:space="preserve"> de euro au </w:t>
      </w:r>
      <w:proofErr w:type="spellStart"/>
      <w:r w:rsidR="00AA130B">
        <w:rPr>
          <w:rFonts w:ascii="Times New Roman" w:hAnsi="Times New Roman" w:cs="Times New Roman"/>
          <w:color w:val="000000" w:themeColor="text1"/>
          <w:sz w:val="24"/>
          <w:szCs w:val="24"/>
          <w:lang w:val="en-US"/>
        </w:rPr>
        <w:t>fost</w:t>
      </w:r>
      <w:proofErr w:type="spellEnd"/>
      <w:r w:rsidR="00AA130B">
        <w:rPr>
          <w:rFonts w:ascii="Times New Roman" w:hAnsi="Times New Roman" w:cs="Times New Roman"/>
          <w:color w:val="000000" w:themeColor="text1"/>
          <w:sz w:val="24"/>
          <w:szCs w:val="24"/>
          <w:lang w:val="en-US"/>
        </w:rPr>
        <w:t xml:space="preserve"> injectate </w:t>
      </w:r>
      <w:proofErr w:type="spellStart"/>
      <w:r w:rsidR="00AA130B">
        <w:rPr>
          <w:rFonts w:ascii="Times New Roman" w:hAnsi="Times New Roman" w:cs="Times New Roman"/>
          <w:color w:val="000000" w:themeColor="text1"/>
          <w:sz w:val="24"/>
          <w:szCs w:val="24"/>
          <w:lang w:val="en-US"/>
        </w:rPr>
        <w:t>în</w:t>
      </w:r>
      <w:proofErr w:type="spellEnd"/>
      <w:r w:rsidR="00AA130B">
        <w:rPr>
          <w:rFonts w:ascii="Times New Roman" w:hAnsi="Times New Roman" w:cs="Times New Roman"/>
          <w:color w:val="000000" w:themeColor="text1"/>
          <w:sz w:val="24"/>
          <w:szCs w:val="24"/>
          <w:lang w:val="en-US"/>
        </w:rPr>
        <w:t xml:space="preserve"> </w:t>
      </w:r>
      <w:proofErr w:type="spellStart"/>
      <w:r w:rsidR="00AA130B">
        <w:rPr>
          <w:rFonts w:ascii="Times New Roman" w:hAnsi="Times New Roman" w:cs="Times New Roman"/>
          <w:color w:val="000000" w:themeColor="text1"/>
          <w:sz w:val="24"/>
          <w:szCs w:val="24"/>
          <w:lang w:val="en-US"/>
        </w:rPr>
        <w:t>sistem</w:t>
      </w:r>
      <w:proofErr w:type="spellEnd"/>
      <w:r w:rsidR="00AA130B">
        <w:rPr>
          <w:rFonts w:ascii="Times New Roman" w:hAnsi="Times New Roman" w:cs="Times New Roman"/>
          <w:color w:val="000000" w:themeColor="text1"/>
          <w:sz w:val="24"/>
          <w:szCs w:val="24"/>
          <w:lang w:val="en-US"/>
        </w:rPr>
        <w:t xml:space="preserve"> </w:t>
      </w:r>
      <w:proofErr w:type="spellStart"/>
      <w:r w:rsidR="00AA130B">
        <w:rPr>
          <w:rFonts w:ascii="Times New Roman" w:hAnsi="Times New Roman" w:cs="Times New Roman"/>
          <w:color w:val="000000" w:themeColor="text1"/>
          <w:sz w:val="24"/>
          <w:szCs w:val="24"/>
          <w:lang w:val="en-US"/>
        </w:rPr>
        <w:t>prin</w:t>
      </w:r>
      <w:proofErr w:type="spellEnd"/>
      <w:r w:rsidR="00AA130B">
        <w:rPr>
          <w:rFonts w:ascii="Times New Roman" w:hAnsi="Times New Roman" w:cs="Times New Roman"/>
          <w:color w:val="000000" w:themeColor="text1"/>
          <w:sz w:val="24"/>
          <w:szCs w:val="24"/>
          <w:lang w:val="en-US"/>
        </w:rPr>
        <w:t xml:space="preserve"> </w:t>
      </w:r>
      <w:proofErr w:type="spellStart"/>
      <w:r w:rsidR="00AA130B">
        <w:rPr>
          <w:rFonts w:ascii="Times New Roman" w:hAnsi="Times New Roman" w:cs="Times New Roman"/>
          <w:color w:val="000000" w:themeColor="text1"/>
          <w:sz w:val="24"/>
          <w:szCs w:val="24"/>
          <w:lang w:val="en-US"/>
        </w:rPr>
        <w:t>cumpărarea</w:t>
      </w:r>
      <w:proofErr w:type="spellEnd"/>
      <w:r w:rsidR="00AA130B">
        <w:rPr>
          <w:rFonts w:ascii="Times New Roman" w:hAnsi="Times New Roman" w:cs="Times New Roman"/>
          <w:color w:val="000000" w:themeColor="text1"/>
          <w:sz w:val="24"/>
          <w:szCs w:val="24"/>
          <w:lang w:val="en-US"/>
        </w:rPr>
        <w:t xml:space="preserve"> de </w:t>
      </w:r>
      <w:proofErr w:type="spellStart"/>
      <w:r w:rsidR="00AA130B">
        <w:rPr>
          <w:rFonts w:ascii="Times New Roman" w:hAnsi="Times New Roman" w:cs="Times New Roman"/>
          <w:color w:val="000000" w:themeColor="text1"/>
          <w:sz w:val="24"/>
          <w:szCs w:val="24"/>
          <w:lang w:val="en-US"/>
        </w:rPr>
        <w:t>obligațiuni</w:t>
      </w:r>
      <w:proofErr w:type="spellEnd"/>
      <w:r w:rsidR="00AA130B">
        <w:rPr>
          <w:rFonts w:ascii="Times New Roman" w:hAnsi="Times New Roman" w:cs="Times New Roman"/>
          <w:color w:val="000000" w:themeColor="text1"/>
          <w:sz w:val="24"/>
          <w:szCs w:val="24"/>
          <w:lang w:val="en-US"/>
        </w:rPr>
        <w:t xml:space="preserve">. </w:t>
      </w:r>
      <w:proofErr w:type="spellStart"/>
      <w:r w:rsidR="00AA130B">
        <w:rPr>
          <w:rFonts w:ascii="Times New Roman" w:hAnsi="Times New Roman" w:cs="Times New Roman"/>
          <w:color w:val="000000" w:themeColor="text1"/>
          <w:sz w:val="24"/>
          <w:szCs w:val="24"/>
          <w:lang w:val="en-US"/>
        </w:rPr>
        <w:t>Excesul</w:t>
      </w:r>
      <w:proofErr w:type="spellEnd"/>
      <w:r w:rsidR="00AA130B">
        <w:rPr>
          <w:rFonts w:ascii="Times New Roman" w:hAnsi="Times New Roman" w:cs="Times New Roman"/>
          <w:color w:val="000000" w:themeColor="text1"/>
          <w:sz w:val="24"/>
          <w:szCs w:val="24"/>
          <w:lang w:val="en-US"/>
        </w:rPr>
        <w:t xml:space="preserve"> de </w:t>
      </w:r>
      <w:proofErr w:type="spellStart"/>
      <w:r w:rsidR="00AA130B">
        <w:rPr>
          <w:rFonts w:ascii="Times New Roman" w:hAnsi="Times New Roman" w:cs="Times New Roman"/>
          <w:color w:val="000000" w:themeColor="text1"/>
          <w:sz w:val="24"/>
          <w:szCs w:val="24"/>
          <w:lang w:val="en-US"/>
        </w:rPr>
        <w:t>lichiditate</w:t>
      </w:r>
      <w:proofErr w:type="spellEnd"/>
      <w:r w:rsidR="00AA130B">
        <w:rPr>
          <w:rFonts w:ascii="Times New Roman" w:hAnsi="Times New Roman" w:cs="Times New Roman"/>
          <w:color w:val="000000" w:themeColor="text1"/>
          <w:sz w:val="24"/>
          <w:szCs w:val="24"/>
          <w:lang w:val="en-US"/>
        </w:rPr>
        <w:t xml:space="preserve"> a </w:t>
      </w:r>
      <w:proofErr w:type="spellStart"/>
      <w:r w:rsidR="00AA130B">
        <w:rPr>
          <w:rFonts w:ascii="Times New Roman" w:hAnsi="Times New Roman" w:cs="Times New Roman"/>
          <w:color w:val="000000" w:themeColor="text1"/>
          <w:sz w:val="24"/>
          <w:szCs w:val="24"/>
          <w:lang w:val="en-US"/>
        </w:rPr>
        <w:t>menținut</w:t>
      </w:r>
      <w:proofErr w:type="spellEnd"/>
      <w:r w:rsidR="00AA130B">
        <w:rPr>
          <w:rFonts w:ascii="Times New Roman" w:hAnsi="Times New Roman" w:cs="Times New Roman"/>
          <w:color w:val="000000" w:themeColor="text1"/>
          <w:sz w:val="24"/>
          <w:szCs w:val="24"/>
          <w:lang w:val="en-US"/>
        </w:rPr>
        <w:t xml:space="preserve"> </w:t>
      </w:r>
      <w:proofErr w:type="spellStart"/>
      <w:r w:rsidR="00235059">
        <w:rPr>
          <w:rFonts w:ascii="Times New Roman" w:hAnsi="Times New Roman" w:cs="Times New Roman"/>
          <w:color w:val="000000" w:themeColor="text1"/>
          <w:sz w:val="24"/>
          <w:szCs w:val="24"/>
          <w:lang w:val="en-US"/>
        </w:rPr>
        <w:t>nivelul</w:t>
      </w:r>
      <w:proofErr w:type="spellEnd"/>
      <w:r w:rsidR="00235059">
        <w:rPr>
          <w:rFonts w:ascii="Times New Roman" w:hAnsi="Times New Roman" w:cs="Times New Roman"/>
          <w:color w:val="000000" w:themeColor="text1"/>
          <w:sz w:val="24"/>
          <w:szCs w:val="24"/>
          <w:lang w:val="en-US"/>
        </w:rPr>
        <w:t xml:space="preserve"> EURIBOR cu </w:t>
      </w:r>
      <w:proofErr w:type="spellStart"/>
      <w:r w:rsidR="00235059">
        <w:rPr>
          <w:rFonts w:ascii="Times New Roman" w:hAnsi="Times New Roman" w:cs="Times New Roman"/>
          <w:color w:val="000000" w:themeColor="text1"/>
          <w:sz w:val="24"/>
          <w:szCs w:val="24"/>
          <w:lang w:val="en-US"/>
        </w:rPr>
        <w:t>maturitate</w:t>
      </w:r>
      <w:proofErr w:type="spellEnd"/>
      <w:r w:rsidR="00235059">
        <w:rPr>
          <w:rFonts w:ascii="Times New Roman" w:hAnsi="Times New Roman" w:cs="Times New Roman"/>
          <w:color w:val="000000" w:themeColor="text1"/>
          <w:sz w:val="24"/>
          <w:szCs w:val="24"/>
          <w:lang w:val="en-US"/>
        </w:rPr>
        <w:t xml:space="preserve"> la 3 </w:t>
      </w:r>
      <w:proofErr w:type="spellStart"/>
      <w:r w:rsidR="00235059">
        <w:rPr>
          <w:rFonts w:ascii="Times New Roman" w:hAnsi="Times New Roman" w:cs="Times New Roman"/>
          <w:color w:val="000000" w:themeColor="text1"/>
          <w:sz w:val="24"/>
          <w:szCs w:val="24"/>
          <w:lang w:val="en-US"/>
        </w:rPr>
        <w:t>luni</w:t>
      </w:r>
      <w:proofErr w:type="spellEnd"/>
      <w:r w:rsidR="00235059">
        <w:rPr>
          <w:rFonts w:ascii="Times New Roman" w:hAnsi="Times New Roman" w:cs="Times New Roman"/>
          <w:color w:val="000000" w:themeColor="text1"/>
          <w:sz w:val="24"/>
          <w:szCs w:val="24"/>
          <w:lang w:val="en-US"/>
        </w:rPr>
        <w:t xml:space="preserve"> </w:t>
      </w:r>
      <w:proofErr w:type="spellStart"/>
      <w:r w:rsidR="00235059">
        <w:rPr>
          <w:rFonts w:ascii="Times New Roman" w:hAnsi="Times New Roman" w:cs="Times New Roman"/>
          <w:color w:val="000000" w:themeColor="text1"/>
          <w:sz w:val="24"/>
          <w:szCs w:val="24"/>
          <w:lang w:val="en-US"/>
        </w:rPr>
        <w:t>aproape</w:t>
      </w:r>
      <w:proofErr w:type="spellEnd"/>
      <w:r w:rsidR="00235059">
        <w:rPr>
          <w:rFonts w:ascii="Times New Roman" w:hAnsi="Times New Roman" w:cs="Times New Roman"/>
          <w:color w:val="000000" w:themeColor="text1"/>
          <w:sz w:val="24"/>
          <w:szCs w:val="24"/>
          <w:lang w:val="en-US"/>
        </w:rPr>
        <w:t xml:space="preserve"> de zero </w:t>
      </w:r>
      <w:proofErr w:type="spellStart"/>
      <w:r w:rsidR="00235059">
        <w:rPr>
          <w:rFonts w:ascii="Times New Roman" w:hAnsi="Times New Roman" w:cs="Times New Roman"/>
          <w:color w:val="000000" w:themeColor="text1"/>
          <w:sz w:val="24"/>
          <w:szCs w:val="24"/>
          <w:lang w:val="en-US"/>
        </w:rPr>
        <w:t>pe</w:t>
      </w:r>
      <w:proofErr w:type="spellEnd"/>
      <w:r w:rsidR="00235059">
        <w:rPr>
          <w:rFonts w:ascii="Times New Roman" w:hAnsi="Times New Roman" w:cs="Times New Roman"/>
          <w:color w:val="000000" w:themeColor="text1"/>
          <w:sz w:val="24"/>
          <w:szCs w:val="24"/>
          <w:lang w:val="en-US"/>
        </w:rPr>
        <w:t xml:space="preserve"> </w:t>
      </w:r>
      <w:proofErr w:type="spellStart"/>
      <w:r w:rsidR="00235059">
        <w:rPr>
          <w:rFonts w:ascii="Times New Roman" w:hAnsi="Times New Roman" w:cs="Times New Roman"/>
          <w:color w:val="000000" w:themeColor="text1"/>
          <w:sz w:val="24"/>
          <w:szCs w:val="24"/>
          <w:lang w:val="en-US"/>
        </w:rPr>
        <w:t>parcursul</w:t>
      </w:r>
      <w:proofErr w:type="spellEnd"/>
      <w:r w:rsidR="00235059">
        <w:rPr>
          <w:rFonts w:ascii="Times New Roman" w:hAnsi="Times New Roman" w:cs="Times New Roman"/>
          <w:color w:val="000000" w:themeColor="text1"/>
          <w:sz w:val="24"/>
          <w:szCs w:val="24"/>
          <w:lang w:val="en-US"/>
        </w:rPr>
        <w:t xml:space="preserve"> </w:t>
      </w:r>
      <w:proofErr w:type="spellStart"/>
      <w:r w:rsidR="00235059">
        <w:rPr>
          <w:rFonts w:ascii="Times New Roman" w:hAnsi="Times New Roman" w:cs="Times New Roman"/>
          <w:color w:val="000000" w:themeColor="text1"/>
          <w:sz w:val="24"/>
          <w:szCs w:val="24"/>
          <w:lang w:val="en-US"/>
        </w:rPr>
        <w:t>anului</w:t>
      </w:r>
      <w:proofErr w:type="spellEnd"/>
      <w:r w:rsidR="00235059">
        <w:rPr>
          <w:rFonts w:ascii="Times New Roman" w:hAnsi="Times New Roman" w:cs="Times New Roman"/>
          <w:color w:val="000000" w:themeColor="text1"/>
          <w:sz w:val="24"/>
          <w:szCs w:val="24"/>
          <w:lang w:val="en-US"/>
        </w:rPr>
        <w:t xml:space="preserve"> 2015, </w:t>
      </w:r>
      <w:r w:rsidR="00235059">
        <w:rPr>
          <w:rFonts w:ascii="Times New Roman" w:hAnsi="Times New Roman" w:cs="Times New Roman"/>
          <w:color w:val="000000" w:themeColor="text1"/>
          <w:sz w:val="24"/>
          <w:szCs w:val="24"/>
        </w:rPr>
        <w:t>și în teritoriu negativ ulterior</w:t>
      </w:r>
      <w:r w:rsidR="00AA130B" w:rsidRPr="00235059">
        <w:rPr>
          <w:rFonts w:ascii="Times New Roman" w:eastAsia="Calibri" w:hAnsi="Times New Roman" w:cs="Times New Roman"/>
          <w:color w:val="000000" w:themeColor="text1"/>
          <w:sz w:val="24"/>
          <w:szCs w:val="24"/>
        </w:rPr>
        <w:t xml:space="preserve">, pentru încurajarea investițiilor, relansarea consumului și evitarea deflației, </w:t>
      </w:r>
      <w:r w:rsidR="00235059">
        <w:rPr>
          <w:rFonts w:ascii="Times New Roman" w:eastAsia="Calibri" w:hAnsi="Times New Roman" w:cs="Times New Roman"/>
          <w:color w:val="000000" w:themeColor="text1"/>
          <w:sz w:val="24"/>
          <w:szCs w:val="24"/>
        </w:rPr>
        <w:t>aceasta din urmă fiind</w:t>
      </w:r>
      <w:r w:rsidR="00AA130B" w:rsidRPr="00235059">
        <w:rPr>
          <w:rFonts w:ascii="Times New Roman" w:eastAsia="Calibri" w:hAnsi="Times New Roman" w:cs="Times New Roman"/>
          <w:color w:val="000000" w:themeColor="text1"/>
          <w:sz w:val="24"/>
          <w:szCs w:val="24"/>
        </w:rPr>
        <w:t xml:space="preserve"> o capcană mult mai periculoasă pentru economia europeană. </w:t>
      </w:r>
      <w:r w:rsidR="00235059">
        <w:rPr>
          <w:rFonts w:ascii="Times New Roman" w:eastAsia="Calibri" w:hAnsi="Times New Roman" w:cs="Times New Roman"/>
          <w:color w:val="000000" w:themeColor="text1"/>
          <w:sz w:val="24"/>
          <w:szCs w:val="24"/>
        </w:rPr>
        <w:t>Politica mon</w:t>
      </w:r>
      <w:r w:rsidR="004A7A2D">
        <w:rPr>
          <w:rFonts w:ascii="Times New Roman" w:eastAsia="Calibri" w:hAnsi="Times New Roman" w:cs="Times New Roman"/>
          <w:color w:val="000000" w:themeColor="text1"/>
          <w:sz w:val="24"/>
          <w:szCs w:val="24"/>
        </w:rPr>
        <w:t>etară promovată</w:t>
      </w:r>
      <w:r w:rsidR="00235059">
        <w:rPr>
          <w:rFonts w:ascii="Times New Roman" w:eastAsia="Calibri" w:hAnsi="Times New Roman" w:cs="Times New Roman"/>
          <w:color w:val="000000" w:themeColor="text1"/>
          <w:sz w:val="24"/>
          <w:szCs w:val="24"/>
        </w:rPr>
        <w:t xml:space="preserve"> de BNR pe plan local a urmat aceleași tendințe, prin reducerea dobânzii cheie de la 6% (ianuarie 2012) la 1,75% (decembrie 2017) după cincisprezece ajustări consecutive. </w:t>
      </w:r>
      <w:r w:rsidR="00F61992">
        <w:rPr>
          <w:rFonts w:ascii="Times New Roman" w:eastAsia="Calibri" w:hAnsi="Times New Roman" w:cs="Times New Roman"/>
          <w:color w:val="000000" w:themeColor="text1"/>
          <w:sz w:val="24"/>
          <w:szCs w:val="24"/>
        </w:rPr>
        <w:t>Aceasta a contribuit la scăderea ROBOR cu maturitate 3 luni de la 6,04% (nivelul maxim înregistrat în decembrie 2012) la 0,7% (nivelul minim înregistrat în octombrie 2016). Singura dif</w:t>
      </w:r>
      <w:r w:rsidR="004A7A2D">
        <w:rPr>
          <w:rFonts w:ascii="Times New Roman" w:eastAsia="Calibri" w:hAnsi="Times New Roman" w:cs="Times New Roman"/>
          <w:color w:val="000000" w:themeColor="text1"/>
          <w:sz w:val="24"/>
          <w:szCs w:val="24"/>
        </w:rPr>
        <w:t>erență față de media observată î</w:t>
      </w:r>
      <w:r w:rsidR="00F61992">
        <w:rPr>
          <w:rFonts w:ascii="Times New Roman" w:eastAsia="Calibri" w:hAnsi="Times New Roman" w:cs="Times New Roman"/>
          <w:color w:val="000000" w:themeColor="text1"/>
          <w:sz w:val="24"/>
          <w:szCs w:val="24"/>
        </w:rPr>
        <w:t>n UE</w:t>
      </w:r>
      <w:r w:rsidR="00044688">
        <w:rPr>
          <w:rFonts w:ascii="Times New Roman" w:eastAsia="Calibri" w:hAnsi="Times New Roman" w:cs="Times New Roman"/>
          <w:color w:val="000000" w:themeColor="text1"/>
          <w:sz w:val="24"/>
          <w:szCs w:val="24"/>
        </w:rPr>
        <w:t>, este faptul că inflația locală a crescut în România mult mai accelerat pe parcursul anului anterior. Astfel, i</w:t>
      </w:r>
      <w:proofErr w:type="spellStart"/>
      <w:r w:rsidR="00235059" w:rsidRPr="00176DCF">
        <w:rPr>
          <w:rFonts w:ascii="Times New Roman" w:hAnsi="Times New Roman" w:cs="Times New Roman"/>
          <w:color w:val="000000" w:themeColor="text1"/>
          <w:sz w:val="24"/>
          <w:szCs w:val="24"/>
          <w:lang w:val="en-US"/>
        </w:rPr>
        <w:t>nflația</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anuală</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înregistrată</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în</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luna</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martie</w:t>
      </w:r>
      <w:proofErr w:type="spellEnd"/>
      <w:r w:rsidR="00235059" w:rsidRPr="00176DCF">
        <w:rPr>
          <w:rFonts w:ascii="Times New Roman" w:hAnsi="Times New Roman" w:cs="Times New Roman"/>
          <w:color w:val="000000" w:themeColor="text1"/>
          <w:sz w:val="24"/>
          <w:szCs w:val="24"/>
          <w:lang w:val="en-US"/>
        </w:rPr>
        <w:t xml:space="preserve"> a </w:t>
      </w:r>
      <w:proofErr w:type="spellStart"/>
      <w:r w:rsidR="00235059" w:rsidRPr="00176DCF">
        <w:rPr>
          <w:rFonts w:ascii="Times New Roman" w:hAnsi="Times New Roman" w:cs="Times New Roman"/>
          <w:color w:val="000000" w:themeColor="text1"/>
          <w:sz w:val="24"/>
          <w:szCs w:val="24"/>
          <w:lang w:val="en-US"/>
        </w:rPr>
        <w:t>anului</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curent</w:t>
      </w:r>
      <w:proofErr w:type="spellEnd"/>
      <w:r w:rsidR="00235059" w:rsidRPr="00176DCF">
        <w:rPr>
          <w:rFonts w:ascii="Times New Roman" w:hAnsi="Times New Roman" w:cs="Times New Roman"/>
          <w:color w:val="000000" w:themeColor="text1"/>
          <w:sz w:val="24"/>
          <w:szCs w:val="24"/>
          <w:lang w:val="en-US"/>
        </w:rPr>
        <w:t xml:space="preserve"> a </w:t>
      </w:r>
      <w:proofErr w:type="spellStart"/>
      <w:r w:rsidR="00044688">
        <w:rPr>
          <w:rFonts w:ascii="Times New Roman" w:hAnsi="Times New Roman" w:cs="Times New Roman"/>
          <w:color w:val="000000" w:themeColor="text1"/>
          <w:sz w:val="24"/>
          <w:szCs w:val="24"/>
          <w:lang w:val="en-US"/>
        </w:rPr>
        <w:t>ajuns</w:t>
      </w:r>
      <w:proofErr w:type="spellEnd"/>
      <w:r w:rsidR="00044688">
        <w:rPr>
          <w:rFonts w:ascii="Times New Roman" w:hAnsi="Times New Roman" w:cs="Times New Roman"/>
          <w:color w:val="000000" w:themeColor="text1"/>
          <w:sz w:val="24"/>
          <w:szCs w:val="24"/>
          <w:lang w:val="en-US"/>
        </w:rPr>
        <w:t xml:space="preserve"> la</w:t>
      </w:r>
      <w:r w:rsidR="00235059" w:rsidRPr="00176DCF">
        <w:rPr>
          <w:rFonts w:ascii="Times New Roman" w:hAnsi="Times New Roman" w:cs="Times New Roman"/>
          <w:color w:val="000000" w:themeColor="text1"/>
          <w:sz w:val="24"/>
          <w:szCs w:val="24"/>
          <w:lang w:val="en-US"/>
        </w:rPr>
        <w:t xml:space="preserve"> 5%, </w:t>
      </w:r>
      <w:proofErr w:type="spellStart"/>
      <w:r w:rsidR="00235059" w:rsidRPr="00176DCF">
        <w:rPr>
          <w:rFonts w:ascii="Times New Roman" w:hAnsi="Times New Roman" w:cs="Times New Roman"/>
          <w:color w:val="000000" w:themeColor="text1"/>
          <w:sz w:val="24"/>
          <w:szCs w:val="24"/>
          <w:lang w:val="en-US"/>
        </w:rPr>
        <w:t>majorarea</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prețurilor</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fiind</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cauzată</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atât</w:t>
      </w:r>
      <w:proofErr w:type="spellEnd"/>
      <w:r w:rsidR="00235059" w:rsidRPr="00176DCF">
        <w:rPr>
          <w:rFonts w:ascii="Times New Roman" w:hAnsi="Times New Roman" w:cs="Times New Roman"/>
          <w:color w:val="000000" w:themeColor="text1"/>
          <w:sz w:val="24"/>
          <w:szCs w:val="24"/>
          <w:lang w:val="en-US"/>
        </w:rPr>
        <w:t xml:space="preserve"> de </w:t>
      </w:r>
      <w:proofErr w:type="spellStart"/>
      <w:r w:rsidR="00235059" w:rsidRPr="00176DCF">
        <w:rPr>
          <w:rFonts w:ascii="Times New Roman" w:hAnsi="Times New Roman" w:cs="Times New Roman"/>
          <w:color w:val="000000" w:themeColor="text1"/>
          <w:sz w:val="24"/>
          <w:szCs w:val="24"/>
          <w:lang w:val="en-US"/>
        </w:rPr>
        <w:t>ofertă</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creșterea</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costurilor</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salariale</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și</w:t>
      </w:r>
      <w:proofErr w:type="spellEnd"/>
      <w:r w:rsidR="00235059" w:rsidRPr="00176DCF">
        <w:rPr>
          <w:rFonts w:ascii="Times New Roman" w:hAnsi="Times New Roman" w:cs="Times New Roman"/>
          <w:color w:val="000000" w:themeColor="text1"/>
          <w:sz w:val="24"/>
          <w:szCs w:val="24"/>
          <w:lang w:val="en-US"/>
        </w:rPr>
        <w:t xml:space="preserve"> a </w:t>
      </w:r>
      <w:proofErr w:type="spellStart"/>
      <w:r w:rsidR="00235059" w:rsidRPr="00176DCF">
        <w:rPr>
          <w:rFonts w:ascii="Times New Roman" w:hAnsi="Times New Roman" w:cs="Times New Roman"/>
          <w:color w:val="000000" w:themeColor="text1"/>
          <w:sz w:val="24"/>
          <w:szCs w:val="24"/>
          <w:lang w:val="en-US"/>
        </w:rPr>
        <w:t>cheltuielilor</w:t>
      </w:r>
      <w:proofErr w:type="spellEnd"/>
      <w:r w:rsidR="00235059" w:rsidRPr="00176DCF">
        <w:rPr>
          <w:rFonts w:ascii="Times New Roman" w:hAnsi="Times New Roman" w:cs="Times New Roman"/>
          <w:color w:val="000000" w:themeColor="text1"/>
          <w:sz w:val="24"/>
          <w:szCs w:val="24"/>
          <w:lang w:val="en-US"/>
        </w:rPr>
        <w:t xml:space="preserve"> cu </w:t>
      </w:r>
      <w:proofErr w:type="spellStart"/>
      <w:r w:rsidR="00235059" w:rsidRPr="00176DCF">
        <w:rPr>
          <w:rFonts w:ascii="Times New Roman" w:hAnsi="Times New Roman" w:cs="Times New Roman"/>
          <w:color w:val="000000" w:themeColor="text1"/>
          <w:sz w:val="24"/>
          <w:szCs w:val="24"/>
          <w:lang w:val="en-US"/>
        </w:rPr>
        <w:t>combustibilul</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cât</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și</w:t>
      </w:r>
      <w:proofErr w:type="spellEnd"/>
      <w:r w:rsidR="00235059" w:rsidRPr="00176DCF">
        <w:rPr>
          <w:rFonts w:ascii="Times New Roman" w:hAnsi="Times New Roman" w:cs="Times New Roman"/>
          <w:color w:val="000000" w:themeColor="text1"/>
          <w:sz w:val="24"/>
          <w:szCs w:val="24"/>
          <w:lang w:val="en-US"/>
        </w:rPr>
        <w:t xml:space="preserve"> de </w:t>
      </w:r>
      <w:proofErr w:type="spellStart"/>
      <w:r w:rsidR="00235059" w:rsidRPr="00176DCF">
        <w:rPr>
          <w:rFonts w:ascii="Times New Roman" w:hAnsi="Times New Roman" w:cs="Times New Roman"/>
          <w:color w:val="000000" w:themeColor="text1"/>
          <w:sz w:val="24"/>
          <w:szCs w:val="24"/>
          <w:lang w:val="en-US"/>
        </w:rPr>
        <w:t>avansul</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cererii</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pe</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fondul</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creșterii</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salariului</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mediu</w:t>
      </w:r>
      <w:proofErr w:type="spellEnd"/>
      <w:r w:rsidR="00235059" w:rsidRPr="00176DCF">
        <w:rPr>
          <w:rFonts w:ascii="Times New Roman" w:hAnsi="Times New Roman" w:cs="Times New Roman"/>
          <w:color w:val="000000" w:themeColor="text1"/>
          <w:sz w:val="24"/>
          <w:szCs w:val="24"/>
          <w:lang w:val="en-US"/>
        </w:rPr>
        <w:t xml:space="preserve"> nominal cu 14% </w:t>
      </w:r>
      <w:proofErr w:type="spellStart"/>
      <w:r w:rsidR="00235059" w:rsidRPr="00176DCF">
        <w:rPr>
          <w:rFonts w:ascii="Times New Roman" w:hAnsi="Times New Roman" w:cs="Times New Roman"/>
          <w:color w:val="000000" w:themeColor="text1"/>
          <w:sz w:val="24"/>
          <w:szCs w:val="24"/>
          <w:lang w:val="en-US"/>
        </w:rPr>
        <w:t>în</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sectorul</w:t>
      </w:r>
      <w:proofErr w:type="spellEnd"/>
      <w:r w:rsidR="00235059" w:rsidRPr="00176DCF">
        <w:rPr>
          <w:rFonts w:ascii="Times New Roman" w:hAnsi="Times New Roman" w:cs="Times New Roman"/>
          <w:color w:val="000000" w:themeColor="text1"/>
          <w:sz w:val="24"/>
          <w:szCs w:val="24"/>
          <w:lang w:val="en-US"/>
        </w:rPr>
        <w:t xml:space="preserve"> </w:t>
      </w:r>
      <w:proofErr w:type="spellStart"/>
      <w:r w:rsidR="00235059" w:rsidRPr="00176DCF">
        <w:rPr>
          <w:rFonts w:ascii="Times New Roman" w:hAnsi="Times New Roman" w:cs="Times New Roman"/>
          <w:color w:val="000000" w:themeColor="text1"/>
          <w:sz w:val="24"/>
          <w:szCs w:val="24"/>
          <w:lang w:val="en-US"/>
        </w:rPr>
        <w:t>privat</w:t>
      </w:r>
      <w:proofErr w:type="spellEnd"/>
      <w:r w:rsidR="004A7A2D">
        <w:rPr>
          <w:rFonts w:ascii="Times New Roman" w:hAnsi="Times New Roman" w:cs="Times New Roman"/>
          <w:color w:val="000000" w:themeColor="text1"/>
          <w:sz w:val="24"/>
          <w:szCs w:val="24"/>
          <w:lang w:val="en-US"/>
        </w:rPr>
        <w:t xml:space="preserve">, 22% </w:t>
      </w:r>
      <w:proofErr w:type="spellStart"/>
      <w:r w:rsidR="004A7A2D">
        <w:rPr>
          <w:rFonts w:ascii="Times New Roman" w:hAnsi="Times New Roman" w:cs="Times New Roman"/>
          <w:color w:val="000000" w:themeColor="text1"/>
          <w:sz w:val="24"/>
          <w:szCs w:val="24"/>
          <w:lang w:val="en-US"/>
        </w:rPr>
        <w:t>în</w:t>
      </w:r>
      <w:proofErr w:type="spellEnd"/>
      <w:r w:rsidR="004A7A2D">
        <w:rPr>
          <w:rFonts w:ascii="Times New Roman" w:hAnsi="Times New Roman" w:cs="Times New Roman"/>
          <w:color w:val="000000" w:themeColor="text1"/>
          <w:sz w:val="24"/>
          <w:szCs w:val="24"/>
          <w:lang w:val="en-US"/>
        </w:rPr>
        <w:t xml:space="preserve"> </w:t>
      </w:r>
      <w:proofErr w:type="spellStart"/>
      <w:r w:rsidR="004A7A2D">
        <w:rPr>
          <w:rFonts w:ascii="Times New Roman" w:hAnsi="Times New Roman" w:cs="Times New Roman"/>
          <w:color w:val="000000" w:themeColor="text1"/>
          <w:sz w:val="24"/>
          <w:szCs w:val="24"/>
          <w:lang w:val="en-US"/>
        </w:rPr>
        <w:t>sec</w:t>
      </w:r>
      <w:r w:rsidR="00044688">
        <w:rPr>
          <w:rFonts w:ascii="Times New Roman" w:hAnsi="Times New Roman" w:cs="Times New Roman"/>
          <w:color w:val="000000" w:themeColor="text1"/>
          <w:sz w:val="24"/>
          <w:szCs w:val="24"/>
          <w:lang w:val="en-US"/>
        </w:rPr>
        <w:t>torul</w:t>
      </w:r>
      <w:proofErr w:type="spellEnd"/>
      <w:r w:rsidR="00044688">
        <w:rPr>
          <w:rFonts w:ascii="Times New Roman" w:hAnsi="Times New Roman" w:cs="Times New Roman"/>
          <w:color w:val="000000" w:themeColor="text1"/>
          <w:sz w:val="24"/>
          <w:szCs w:val="24"/>
          <w:lang w:val="en-US"/>
        </w:rPr>
        <w:t xml:space="preserve"> public,</w:t>
      </w:r>
      <w:r w:rsidR="004A7A2D">
        <w:rPr>
          <w:rFonts w:ascii="Times New Roman" w:hAnsi="Times New Roman" w:cs="Times New Roman"/>
          <w:color w:val="000000" w:themeColor="text1"/>
          <w:sz w:val="24"/>
          <w:szCs w:val="24"/>
          <w:lang w:val="en-US"/>
        </w:rPr>
        <w:t xml:space="preserve"> </w:t>
      </w:r>
      <w:proofErr w:type="spellStart"/>
      <w:r w:rsidR="004A7A2D">
        <w:rPr>
          <w:rFonts w:ascii="Times New Roman" w:hAnsi="Times New Roman" w:cs="Times New Roman"/>
          <w:color w:val="000000" w:themeColor="text1"/>
          <w:sz w:val="24"/>
          <w:szCs w:val="24"/>
          <w:lang w:val="en-US"/>
        </w:rPr>
        <w:t>avansul</w:t>
      </w:r>
      <w:proofErr w:type="spellEnd"/>
      <w:r w:rsidR="004A7A2D">
        <w:rPr>
          <w:rFonts w:ascii="Times New Roman" w:hAnsi="Times New Roman" w:cs="Times New Roman"/>
          <w:color w:val="000000" w:themeColor="text1"/>
          <w:sz w:val="24"/>
          <w:szCs w:val="24"/>
          <w:lang w:val="en-US"/>
        </w:rPr>
        <w:t xml:space="preserve"> </w:t>
      </w:r>
      <w:proofErr w:type="spellStart"/>
      <w:r w:rsidR="004A7A2D" w:rsidRPr="00176DCF">
        <w:rPr>
          <w:rFonts w:ascii="Times New Roman" w:hAnsi="Times New Roman" w:cs="Times New Roman"/>
          <w:color w:val="000000" w:themeColor="text1"/>
          <w:sz w:val="24"/>
          <w:szCs w:val="24"/>
          <w:lang w:val="en-US"/>
        </w:rPr>
        <w:t>soldului</w:t>
      </w:r>
      <w:proofErr w:type="spellEnd"/>
      <w:r w:rsidR="004A7A2D" w:rsidRPr="00176DCF">
        <w:rPr>
          <w:rFonts w:ascii="Times New Roman" w:hAnsi="Times New Roman" w:cs="Times New Roman"/>
          <w:color w:val="000000" w:themeColor="text1"/>
          <w:sz w:val="24"/>
          <w:szCs w:val="24"/>
          <w:lang w:val="en-US"/>
        </w:rPr>
        <w:t xml:space="preserve"> </w:t>
      </w:r>
      <w:proofErr w:type="spellStart"/>
      <w:r w:rsidR="004A7A2D" w:rsidRPr="00176DCF">
        <w:rPr>
          <w:rFonts w:ascii="Times New Roman" w:hAnsi="Times New Roman" w:cs="Times New Roman"/>
          <w:color w:val="000000" w:themeColor="text1"/>
          <w:sz w:val="24"/>
          <w:szCs w:val="24"/>
          <w:lang w:val="en-US"/>
        </w:rPr>
        <w:t>creditelor</w:t>
      </w:r>
      <w:proofErr w:type="spellEnd"/>
      <w:r w:rsidR="004A7A2D" w:rsidRPr="00176DCF">
        <w:rPr>
          <w:rFonts w:ascii="Times New Roman" w:hAnsi="Times New Roman" w:cs="Times New Roman"/>
          <w:color w:val="000000" w:themeColor="text1"/>
          <w:sz w:val="24"/>
          <w:szCs w:val="24"/>
          <w:lang w:val="en-US"/>
        </w:rPr>
        <w:t xml:space="preserve"> </w:t>
      </w:r>
      <w:proofErr w:type="spellStart"/>
      <w:r w:rsidR="004A7A2D" w:rsidRPr="00176DCF">
        <w:rPr>
          <w:rFonts w:ascii="Times New Roman" w:hAnsi="Times New Roman" w:cs="Times New Roman"/>
          <w:color w:val="000000" w:themeColor="text1"/>
          <w:sz w:val="24"/>
          <w:szCs w:val="24"/>
          <w:lang w:val="en-US"/>
        </w:rPr>
        <w:t>acordate</w:t>
      </w:r>
      <w:proofErr w:type="spellEnd"/>
      <w:r w:rsidR="004A7A2D" w:rsidRPr="00176DCF">
        <w:rPr>
          <w:rFonts w:ascii="Times New Roman" w:hAnsi="Times New Roman" w:cs="Times New Roman"/>
          <w:color w:val="000000" w:themeColor="text1"/>
          <w:sz w:val="24"/>
          <w:szCs w:val="24"/>
          <w:lang w:val="en-US"/>
        </w:rPr>
        <w:t xml:space="preserve"> </w:t>
      </w:r>
      <w:proofErr w:type="spellStart"/>
      <w:r w:rsidR="004A7A2D" w:rsidRPr="00176DCF">
        <w:rPr>
          <w:rFonts w:ascii="Times New Roman" w:hAnsi="Times New Roman" w:cs="Times New Roman"/>
          <w:color w:val="000000" w:themeColor="text1"/>
          <w:sz w:val="24"/>
          <w:szCs w:val="24"/>
          <w:lang w:val="en-US"/>
        </w:rPr>
        <w:t>popu</w:t>
      </w:r>
      <w:r w:rsidR="004A7A2D">
        <w:rPr>
          <w:rFonts w:ascii="Times New Roman" w:hAnsi="Times New Roman" w:cs="Times New Roman"/>
          <w:color w:val="000000" w:themeColor="text1"/>
          <w:sz w:val="24"/>
          <w:szCs w:val="24"/>
          <w:lang w:val="en-US"/>
        </w:rPr>
        <w:t>lației</w:t>
      </w:r>
      <w:proofErr w:type="spellEnd"/>
      <w:r w:rsidR="004A7A2D">
        <w:rPr>
          <w:rFonts w:ascii="Times New Roman" w:hAnsi="Times New Roman" w:cs="Times New Roman"/>
          <w:color w:val="000000" w:themeColor="text1"/>
          <w:sz w:val="24"/>
          <w:szCs w:val="24"/>
          <w:lang w:val="en-US"/>
        </w:rPr>
        <w:t xml:space="preserve"> cu 8%</w:t>
      </w:r>
      <w:r w:rsidR="00044688">
        <w:rPr>
          <w:rFonts w:ascii="Times New Roman" w:hAnsi="Times New Roman" w:cs="Times New Roman"/>
          <w:color w:val="000000" w:themeColor="text1"/>
          <w:sz w:val="24"/>
          <w:szCs w:val="24"/>
          <w:lang w:val="en-US"/>
        </w:rPr>
        <w:t xml:space="preserve"> </w:t>
      </w:r>
      <w:proofErr w:type="spellStart"/>
      <w:r w:rsidR="004A7A2D">
        <w:rPr>
          <w:rFonts w:ascii="Times New Roman" w:hAnsi="Times New Roman" w:cs="Times New Roman"/>
          <w:color w:val="000000" w:themeColor="text1"/>
          <w:sz w:val="24"/>
          <w:szCs w:val="24"/>
          <w:lang w:val="en-US"/>
        </w:rPr>
        <w:t>și</w:t>
      </w:r>
      <w:proofErr w:type="spellEnd"/>
      <w:r w:rsidR="004A7A2D">
        <w:rPr>
          <w:rFonts w:ascii="Times New Roman" w:hAnsi="Times New Roman" w:cs="Times New Roman"/>
          <w:color w:val="000000" w:themeColor="text1"/>
          <w:sz w:val="24"/>
          <w:szCs w:val="24"/>
          <w:lang w:val="en-US"/>
        </w:rPr>
        <w:t xml:space="preserve"> </w:t>
      </w:r>
      <w:proofErr w:type="spellStart"/>
      <w:r w:rsidR="004A7A2D">
        <w:rPr>
          <w:rFonts w:ascii="Times New Roman" w:hAnsi="Times New Roman" w:cs="Times New Roman"/>
          <w:color w:val="000000" w:themeColor="text1"/>
          <w:sz w:val="24"/>
          <w:szCs w:val="24"/>
          <w:lang w:val="en-US"/>
        </w:rPr>
        <w:t>creșterea</w:t>
      </w:r>
      <w:proofErr w:type="spellEnd"/>
      <w:r w:rsidR="00044688">
        <w:rPr>
          <w:rFonts w:ascii="Times New Roman" w:hAnsi="Times New Roman" w:cs="Times New Roman"/>
          <w:color w:val="000000" w:themeColor="text1"/>
          <w:sz w:val="24"/>
          <w:szCs w:val="24"/>
          <w:lang w:val="en-US"/>
        </w:rPr>
        <w:t xml:space="preserve"> </w:t>
      </w:r>
      <w:proofErr w:type="spellStart"/>
      <w:r w:rsidR="00044688">
        <w:rPr>
          <w:rFonts w:ascii="Times New Roman" w:hAnsi="Times New Roman" w:cs="Times New Roman"/>
          <w:color w:val="000000" w:themeColor="text1"/>
          <w:sz w:val="24"/>
          <w:szCs w:val="24"/>
          <w:lang w:val="en-US"/>
        </w:rPr>
        <w:t>deficitul</w:t>
      </w:r>
      <w:r w:rsidR="004A7A2D">
        <w:rPr>
          <w:rFonts w:ascii="Times New Roman" w:hAnsi="Times New Roman" w:cs="Times New Roman"/>
          <w:color w:val="000000" w:themeColor="text1"/>
          <w:sz w:val="24"/>
          <w:szCs w:val="24"/>
          <w:lang w:val="en-US"/>
        </w:rPr>
        <w:t>ui</w:t>
      </w:r>
      <w:proofErr w:type="spellEnd"/>
      <w:r w:rsidR="00044688">
        <w:rPr>
          <w:rFonts w:ascii="Times New Roman" w:hAnsi="Times New Roman" w:cs="Times New Roman"/>
          <w:color w:val="000000" w:themeColor="text1"/>
          <w:sz w:val="24"/>
          <w:szCs w:val="24"/>
          <w:lang w:val="en-US"/>
        </w:rPr>
        <w:t xml:space="preserve"> fiscal la 3% din </w:t>
      </w:r>
      <w:proofErr w:type="spellStart"/>
      <w:r w:rsidR="00044688">
        <w:rPr>
          <w:rFonts w:ascii="Times New Roman" w:hAnsi="Times New Roman" w:cs="Times New Roman"/>
          <w:color w:val="000000" w:themeColor="text1"/>
          <w:sz w:val="24"/>
          <w:szCs w:val="24"/>
          <w:lang w:val="en-US"/>
        </w:rPr>
        <w:t>cauza</w:t>
      </w:r>
      <w:proofErr w:type="spellEnd"/>
      <w:r w:rsidR="00044688">
        <w:rPr>
          <w:rFonts w:ascii="Times New Roman" w:hAnsi="Times New Roman" w:cs="Times New Roman"/>
          <w:color w:val="000000" w:themeColor="text1"/>
          <w:sz w:val="24"/>
          <w:szCs w:val="24"/>
          <w:lang w:val="en-US"/>
        </w:rPr>
        <w:t xml:space="preserve"> </w:t>
      </w:r>
      <w:proofErr w:type="spellStart"/>
      <w:r w:rsidR="00044688">
        <w:rPr>
          <w:rFonts w:ascii="Times New Roman" w:hAnsi="Times New Roman" w:cs="Times New Roman"/>
          <w:color w:val="000000" w:themeColor="text1"/>
          <w:sz w:val="24"/>
          <w:szCs w:val="24"/>
          <w:lang w:val="en-US"/>
        </w:rPr>
        <w:t>măsurilor</w:t>
      </w:r>
      <w:proofErr w:type="spellEnd"/>
      <w:r w:rsidR="00044688">
        <w:rPr>
          <w:rFonts w:ascii="Times New Roman" w:hAnsi="Times New Roman" w:cs="Times New Roman"/>
          <w:color w:val="000000" w:themeColor="text1"/>
          <w:sz w:val="24"/>
          <w:szCs w:val="24"/>
          <w:lang w:val="en-US"/>
        </w:rPr>
        <w:t xml:space="preserve"> </w:t>
      </w:r>
      <w:proofErr w:type="spellStart"/>
      <w:r w:rsidR="00044688">
        <w:rPr>
          <w:rFonts w:ascii="Times New Roman" w:hAnsi="Times New Roman" w:cs="Times New Roman"/>
          <w:color w:val="000000" w:themeColor="text1"/>
          <w:sz w:val="24"/>
          <w:szCs w:val="24"/>
          <w:lang w:val="en-US"/>
        </w:rPr>
        <w:t>populiste</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Aceste</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dinamici</w:t>
      </w:r>
      <w:proofErr w:type="spellEnd"/>
      <w:r w:rsidR="00847A1A">
        <w:rPr>
          <w:rFonts w:ascii="Times New Roman" w:hAnsi="Times New Roman" w:cs="Times New Roman"/>
          <w:color w:val="000000" w:themeColor="text1"/>
          <w:sz w:val="24"/>
          <w:szCs w:val="24"/>
          <w:lang w:val="en-US"/>
        </w:rPr>
        <w:t xml:space="preserve"> din </w:t>
      </w:r>
      <w:proofErr w:type="spellStart"/>
      <w:r w:rsidR="00847A1A">
        <w:rPr>
          <w:rFonts w:ascii="Times New Roman" w:hAnsi="Times New Roman" w:cs="Times New Roman"/>
          <w:color w:val="000000" w:themeColor="text1"/>
          <w:sz w:val="24"/>
          <w:szCs w:val="24"/>
          <w:lang w:val="en-US"/>
        </w:rPr>
        <w:t>România</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și</w:t>
      </w:r>
      <w:proofErr w:type="spellEnd"/>
      <w:r w:rsidR="00847A1A">
        <w:rPr>
          <w:rFonts w:ascii="Times New Roman" w:hAnsi="Times New Roman" w:cs="Times New Roman"/>
          <w:color w:val="000000" w:themeColor="text1"/>
          <w:sz w:val="24"/>
          <w:szCs w:val="24"/>
          <w:lang w:val="en-US"/>
        </w:rPr>
        <w:t xml:space="preserve"> UE se </w:t>
      </w:r>
      <w:proofErr w:type="spellStart"/>
      <w:r w:rsidR="00847A1A">
        <w:rPr>
          <w:rFonts w:ascii="Times New Roman" w:hAnsi="Times New Roman" w:cs="Times New Roman"/>
          <w:color w:val="000000" w:themeColor="text1"/>
          <w:sz w:val="24"/>
          <w:szCs w:val="24"/>
          <w:lang w:val="en-US"/>
        </w:rPr>
        <w:t>observă</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foarte</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clar</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în</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graficele</w:t>
      </w:r>
      <w:proofErr w:type="spellEnd"/>
      <w:r w:rsidR="00847A1A">
        <w:rPr>
          <w:rFonts w:ascii="Times New Roman" w:hAnsi="Times New Roman" w:cs="Times New Roman"/>
          <w:color w:val="000000" w:themeColor="text1"/>
          <w:sz w:val="24"/>
          <w:szCs w:val="24"/>
          <w:lang w:val="en-US"/>
        </w:rPr>
        <w:t xml:space="preserve"> </w:t>
      </w:r>
      <w:proofErr w:type="spellStart"/>
      <w:r w:rsidR="00847A1A">
        <w:rPr>
          <w:rFonts w:ascii="Times New Roman" w:hAnsi="Times New Roman" w:cs="Times New Roman"/>
          <w:color w:val="000000" w:themeColor="text1"/>
          <w:sz w:val="24"/>
          <w:szCs w:val="24"/>
          <w:lang w:val="en-US"/>
        </w:rPr>
        <w:t>următoare</w:t>
      </w:r>
      <w:proofErr w:type="spellEnd"/>
      <w:r w:rsidR="00847A1A">
        <w:rPr>
          <w:rFonts w:ascii="Times New Roman" w:hAnsi="Times New Roman" w:cs="Times New Roman"/>
          <w:color w:val="000000" w:themeColor="text1"/>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360DAE" w:rsidTr="00360DAE">
        <w:tc>
          <w:tcPr>
            <w:tcW w:w="5353" w:type="dxa"/>
          </w:tcPr>
          <w:p w:rsidR="00360DAE" w:rsidRDefault="00360DAE" w:rsidP="00E6127C">
            <w:pPr>
              <w:jc w:val="both"/>
              <w:rPr>
                <w:rFonts w:ascii="Times New Roman" w:eastAsia="Calibri" w:hAnsi="Times New Roman" w:cs="Times New Roman"/>
                <w:color w:val="000000" w:themeColor="text1"/>
                <w:sz w:val="24"/>
                <w:szCs w:val="24"/>
              </w:rPr>
            </w:pPr>
            <w:r w:rsidRPr="00360DAE">
              <w:rPr>
                <w:rFonts w:ascii="Times New Roman" w:eastAsia="Calibri" w:hAnsi="Times New Roman" w:cs="Times New Roman"/>
                <w:b/>
                <w:color w:val="000000" w:themeColor="text1"/>
                <w:sz w:val="24"/>
                <w:szCs w:val="24"/>
              </w:rPr>
              <w:t>Grafic 1</w:t>
            </w:r>
            <w:r>
              <w:rPr>
                <w:rFonts w:ascii="Times New Roman" w:eastAsia="Calibri" w:hAnsi="Times New Roman" w:cs="Times New Roman"/>
                <w:color w:val="000000" w:themeColor="text1"/>
                <w:sz w:val="24"/>
                <w:szCs w:val="24"/>
              </w:rPr>
              <w:t xml:space="preserve"> – Evolutia EURIBOR (3m) și inflația in UE</w:t>
            </w:r>
          </w:p>
          <w:p w:rsidR="00360DAE" w:rsidRDefault="00360DAE" w:rsidP="00E6127C">
            <w:pPr>
              <w:jc w:val="both"/>
              <w:rPr>
                <w:rFonts w:ascii="Times New Roman" w:eastAsia="Calibri" w:hAnsi="Times New Roman" w:cs="Times New Roman"/>
                <w:color w:val="000000" w:themeColor="text1"/>
                <w:sz w:val="24"/>
                <w:szCs w:val="24"/>
              </w:rPr>
            </w:pPr>
            <w:r>
              <w:rPr>
                <w:noProof/>
                <w:lang w:eastAsia="ro-RO"/>
              </w:rPr>
              <w:drawing>
                <wp:inline distT="0" distB="0" distL="0" distR="0" wp14:anchorId="0C49B787" wp14:editId="03126C38">
                  <wp:extent cx="3098800" cy="1803400"/>
                  <wp:effectExtent l="0" t="0" r="63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5353" w:type="dxa"/>
          </w:tcPr>
          <w:p w:rsidR="00360DAE" w:rsidRDefault="00360DAE" w:rsidP="00E6127C">
            <w:pPr>
              <w:jc w:val="both"/>
              <w:rPr>
                <w:rFonts w:ascii="Times New Roman" w:eastAsia="Calibri" w:hAnsi="Times New Roman" w:cs="Times New Roman"/>
                <w:color w:val="000000" w:themeColor="text1"/>
                <w:sz w:val="24"/>
                <w:szCs w:val="24"/>
              </w:rPr>
            </w:pPr>
            <w:r w:rsidRPr="00360DAE">
              <w:rPr>
                <w:rFonts w:ascii="Times New Roman" w:eastAsia="Calibri" w:hAnsi="Times New Roman" w:cs="Times New Roman"/>
                <w:b/>
                <w:color w:val="000000" w:themeColor="text1"/>
                <w:sz w:val="24"/>
                <w:szCs w:val="24"/>
              </w:rPr>
              <w:t>Grafic 2</w:t>
            </w:r>
            <w:r>
              <w:rPr>
                <w:rFonts w:ascii="Times New Roman" w:eastAsia="Calibri" w:hAnsi="Times New Roman" w:cs="Times New Roman"/>
                <w:color w:val="000000" w:themeColor="text1"/>
                <w:sz w:val="24"/>
                <w:szCs w:val="24"/>
              </w:rPr>
              <w:t xml:space="preserve"> – Evoluția ROBOR(3m) și inflația în RO</w:t>
            </w:r>
          </w:p>
          <w:p w:rsidR="00360DAE" w:rsidRDefault="00360DAE" w:rsidP="00E6127C">
            <w:pPr>
              <w:jc w:val="both"/>
              <w:rPr>
                <w:rFonts w:ascii="Times New Roman" w:eastAsia="Calibri" w:hAnsi="Times New Roman" w:cs="Times New Roman"/>
                <w:color w:val="000000" w:themeColor="text1"/>
                <w:sz w:val="24"/>
                <w:szCs w:val="24"/>
              </w:rPr>
            </w:pPr>
            <w:r>
              <w:rPr>
                <w:noProof/>
                <w:lang w:eastAsia="ro-RO"/>
              </w:rPr>
              <w:drawing>
                <wp:inline distT="0" distB="0" distL="0" distR="0" wp14:anchorId="74CE6054" wp14:editId="2C527B5E">
                  <wp:extent cx="3166534" cy="18034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360DAE" w:rsidRPr="005C37F8" w:rsidRDefault="005C37F8" w:rsidP="00E6127C">
      <w:pPr>
        <w:jc w:val="both"/>
        <w:rPr>
          <w:rFonts w:ascii="Times New Roman" w:eastAsia="Calibri" w:hAnsi="Times New Roman" w:cs="Times New Roman"/>
          <w:i/>
          <w:color w:val="000000" w:themeColor="text1"/>
          <w:sz w:val="24"/>
          <w:szCs w:val="24"/>
        </w:rPr>
      </w:pPr>
      <w:r w:rsidRPr="005C37F8">
        <w:rPr>
          <w:rFonts w:ascii="Times New Roman" w:eastAsia="Calibri" w:hAnsi="Times New Roman" w:cs="Times New Roman"/>
          <w:i/>
          <w:color w:val="000000" w:themeColor="text1"/>
          <w:sz w:val="24"/>
          <w:szCs w:val="24"/>
        </w:rPr>
        <w:t xml:space="preserve">Sursa – Eurostat, BNR, INSSE, date prelucrate autor </w:t>
      </w:r>
    </w:p>
    <w:p w:rsidR="00333C89" w:rsidRDefault="00391F0C" w:rsidP="00235059">
      <w:pPr>
        <w:jc w:val="both"/>
        <w:rPr>
          <w:rFonts w:ascii="Times New Roman" w:eastAsia="Calibri" w:hAnsi="Times New Roman" w:cs="Times New Roman"/>
          <w:color w:val="000000" w:themeColor="text1"/>
          <w:sz w:val="24"/>
          <w:szCs w:val="24"/>
        </w:rPr>
      </w:pPr>
      <w:r w:rsidRPr="00391F0C">
        <w:rPr>
          <w:rFonts w:ascii="Times New Roman" w:eastAsia="Calibri" w:hAnsi="Times New Roman" w:cs="Times New Roman"/>
          <w:color w:val="000000" w:themeColor="text1"/>
          <w:sz w:val="24"/>
          <w:szCs w:val="24"/>
        </w:rPr>
        <w:lastRenderedPageBreak/>
        <w:t xml:space="preserve">Desigur, din punct de vedere </w:t>
      </w:r>
      <w:r>
        <w:rPr>
          <w:rFonts w:ascii="Times New Roman" w:eastAsia="Calibri" w:hAnsi="Times New Roman" w:cs="Times New Roman"/>
          <w:color w:val="000000" w:themeColor="text1"/>
          <w:sz w:val="24"/>
          <w:szCs w:val="24"/>
        </w:rPr>
        <w:t xml:space="preserve">economic, face sens și este corect – finanțarea ieftină încurajează investițiile, deoarece relansează consumul și reduce povara financiară pentru dezvoltarea companiilor. </w:t>
      </w:r>
      <w:r w:rsidR="00333C89">
        <w:rPr>
          <w:rFonts w:ascii="Times New Roman" w:eastAsia="Calibri" w:hAnsi="Times New Roman" w:cs="Times New Roman"/>
          <w:color w:val="000000" w:themeColor="text1"/>
          <w:sz w:val="24"/>
          <w:szCs w:val="24"/>
        </w:rPr>
        <w:t>Totuși, cred că o întrebare și mai importantă pentru dezvoltarea mediului de afaceri</w:t>
      </w:r>
      <w:r w:rsidR="004A7A2D">
        <w:rPr>
          <w:rFonts w:ascii="Times New Roman" w:eastAsia="Calibri" w:hAnsi="Times New Roman" w:cs="Times New Roman"/>
          <w:color w:val="000000" w:themeColor="text1"/>
          <w:sz w:val="24"/>
          <w:szCs w:val="24"/>
        </w:rPr>
        <w:t xml:space="preserve"> pe termen lung</w:t>
      </w:r>
      <w:r w:rsidR="00333C89">
        <w:rPr>
          <w:rFonts w:ascii="Times New Roman" w:eastAsia="Calibri" w:hAnsi="Times New Roman" w:cs="Times New Roman"/>
          <w:color w:val="000000" w:themeColor="text1"/>
          <w:sz w:val="24"/>
          <w:szCs w:val="24"/>
        </w:rPr>
        <w:t xml:space="preserve">, în ansamblul său, este </w:t>
      </w:r>
      <w:r w:rsidR="00333C89" w:rsidRPr="00333C89">
        <w:rPr>
          <w:rFonts w:ascii="Times New Roman" w:eastAsia="Calibri" w:hAnsi="Times New Roman" w:cs="Times New Roman"/>
          <w:b/>
          <w:color w:val="000000" w:themeColor="text1"/>
          <w:sz w:val="24"/>
          <w:szCs w:val="24"/>
        </w:rPr>
        <w:t xml:space="preserve">ce tip de investiții sunt încurajate prin politica banilor ieftini și ușor de accesat? </w:t>
      </w:r>
      <w:r w:rsidR="00333C89">
        <w:rPr>
          <w:rFonts w:ascii="Times New Roman" w:eastAsia="Calibri" w:hAnsi="Times New Roman" w:cs="Times New Roman"/>
          <w:color w:val="000000" w:themeColor="text1"/>
          <w:sz w:val="24"/>
          <w:szCs w:val="24"/>
        </w:rPr>
        <w:t xml:space="preserve">Pentru a răspunde la această întrebare, am analizat evoluția tuturor proiectelor de investiții realizate de toate companiile </w:t>
      </w:r>
      <w:r w:rsidR="004A7A2D">
        <w:rPr>
          <w:rFonts w:ascii="Times New Roman" w:eastAsia="Calibri" w:hAnsi="Times New Roman" w:cs="Times New Roman"/>
          <w:color w:val="000000" w:themeColor="text1"/>
          <w:sz w:val="24"/>
          <w:szCs w:val="24"/>
        </w:rPr>
        <w:t>active în</w:t>
      </w:r>
      <w:r w:rsidR="00333C89">
        <w:rPr>
          <w:rFonts w:ascii="Times New Roman" w:eastAsia="Calibri" w:hAnsi="Times New Roman" w:cs="Times New Roman"/>
          <w:color w:val="000000" w:themeColor="text1"/>
          <w:sz w:val="24"/>
          <w:szCs w:val="24"/>
        </w:rPr>
        <w:t xml:space="preserve"> România. </w:t>
      </w:r>
      <w:r w:rsidR="00BB60E7">
        <w:rPr>
          <w:rFonts w:ascii="Times New Roman" w:eastAsia="Calibri" w:hAnsi="Times New Roman" w:cs="Times New Roman"/>
          <w:color w:val="000000" w:themeColor="text1"/>
          <w:sz w:val="24"/>
          <w:szCs w:val="24"/>
        </w:rPr>
        <w:t>Practic, am parcurs urmă</w:t>
      </w:r>
      <w:r w:rsidR="007E38F8">
        <w:rPr>
          <w:rFonts w:ascii="Times New Roman" w:eastAsia="Calibri" w:hAnsi="Times New Roman" w:cs="Times New Roman"/>
          <w:color w:val="000000" w:themeColor="text1"/>
          <w:sz w:val="24"/>
          <w:szCs w:val="24"/>
        </w:rPr>
        <w:t>toarele etape (metodologie)</w:t>
      </w:r>
    </w:p>
    <w:p w:rsidR="007E38F8" w:rsidRDefault="007E38F8" w:rsidP="007E38F8">
      <w:pPr>
        <w:pStyle w:val="ListParagraph"/>
        <w:numPr>
          <w:ilvl w:val="0"/>
          <w:numId w:val="5"/>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am considerat toate companiile pentru care creșterea activelor imobilizate a depășit 10%, iar valoarea netă a investițiilor realizate a depășit 100.000 RON (practic, acestea sunt companii care au investit semnificativ pe termen lung)</w:t>
      </w:r>
    </w:p>
    <w:p w:rsidR="007E38F8" w:rsidRDefault="00BB60E7" w:rsidP="007E38F8">
      <w:pPr>
        <w:pStyle w:val="ListParagraph"/>
        <w:numPr>
          <w:ilvl w:val="0"/>
          <w:numId w:val="5"/>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am calculat randamentul activelor (ROA, eng. Return On Assets = Profit Net / Active) obținut de aceste companii pentru următorii trei ani, imediat dupa realizarea investițiilor respective</w:t>
      </w:r>
    </w:p>
    <w:p w:rsidR="00BB60E7" w:rsidRDefault="006E7801" w:rsidP="007E38F8">
      <w:pPr>
        <w:pStyle w:val="ListParagraph"/>
        <w:numPr>
          <w:ilvl w:val="0"/>
          <w:numId w:val="5"/>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am reluat acest exercițiu pentru fiecare an din perioada 2010 – 2015 (pentru ulti</w:t>
      </w:r>
      <w:r w:rsidR="004A7A2D">
        <w:rPr>
          <w:rFonts w:ascii="Times New Roman" w:eastAsia="Calibri" w:hAnsi="Times New Roman" w:cs="Times New Roman"/>
          <w:color w:val="000000" w:themeColor="text1"/>
          <w:sz w:val="24"/>
          <w:szCs w:val="24"/>
        </w:rPr>
        <w:t>mii doi ani putem observa evoluț</w:t>
      </w:r>
      <w:r>
        <w:rPr>
          <w:rFonts w:ascii="Times New Roman" w:eastAsia="Calibri" w:hAnsi="Times New Roman" w:cs="Times New Roman"/>
          <w:color w:val="000000" w:themeColor="text1"/>
          <w:sz w:val="24"/>
          <w:szCs w:val="24"/>
        </w:rPr>
        <w:t>ia randamentului până în anul 2016, inclusiv)</w:t>
      </w:r>
    </w:p>
    <w:p w:rsidR="006E7801" w:rsidRDefault="006E7801" w:rsidP="006E7801">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Rezultatele sunt ilustrate în tabelul și graficul următor, iar concluzia este cât se poate de simplă și evidentă – </w:t>
      </w:r>
      <w:r w:rsidRPr="003F711D">
        <w:rPr>
          <w:rFonts w:ascii="Times New Roman" w:eastAsia="Calibri" w:hAnsi="Times New Roman" w:cs="Times New Roman"/>
          <w:b/>
          <w:color w:val="000000" w:themeColor="text1"/>
          <w:sz w:val="24"/>
          <w:szCs w:val="24"/>
        </w:rPr>
        <w:t>cele mai bune investiții s-au realizat atunci când costul finanțării a fost ridicat iar accesul la finantare a fost dificil. Când banii se obțin ușsor și ieftin, atunci se realizează cele mai proaste investiții</w:t>
      </w:r>
      <w:r>
        <w:rPr>
          <w:rFonts w:ascii="Times New Roman" w:eastAsia="Calibri" w:hAnsi="Times New Roman" w:cs="Times New Roman"/>
          <w:color w:val="000000" w:themeColor="text1"/>
          <w:sz w:val="24"/>
          <w:szCs w:val="24"/>
        </w:rPr>
        <w:t xml:space="preserve">. </w:t>
      </w:r>
      <w:r w:rsidR="003F711D">
        <w:rPr>
          <w:rFonts w:ascii="Times New Roman" w:eastAsia="Calibri" w:hAnsi="Times New Roman" w:cs="Times New Roman"/>
          <w:color w:val="000000" w:themeColor="text1"/>
          <w:sz w:val="24"/>
          <w:szCs w:val="24"/>
        </w:rPr>
        <w:t xml:space="preserve">Astfel, </w:t>
      </w:r>
      <w:r w:rsidR="00561DFB">
        <w:rPr>
          <w:rFonts w:ascii="Times New Roman" w:eastAsia="Calibri" w:hAnsi="Times New Roman" w:cs="Times New Roman"/>
          <w:color w:val="000000" w:themeColor="text1"/>
          <w:sz w:val="24"/>
          <w:szCs w:val="24"/>
        </w:rPr>
        <w:t>investițiile realizate în perioada 2010-2012, când nivelul ROBOR cu maturitate la 3 luni era cel mai ridicat și accesul la finanțare a fost mai dificil (din cauza provizioanelor ridicate generate de rata creditelor neperformante)</w:t>
      </w:r>
      <w:r w:rsidR="003C2412">
        <w:rPr>
          <w:rFonts w:ascii="Times New Roman" w:eastAsia="Calibri" w:hAnsi="Times New Roman" w:cs="Times New Roman"/>
          <w:color w:val="000000" w:themeColor="text1"/>
          <w:sz w:val="24"/>
          <w:szCs w:val="24"/>
        </w:rPr>
        <w:t xml:space="preserve">, au fost singurele care au generat un randament mai mare de 5% în primul an, respectiv peste 10% după trei ani de la momentul investiției. </w:t>
      </w:r>
      <w:r w:rsidR="005C37F8">
        <w:rPr>
          <w:rFonts w:ascii="Times New Roman" w:eastAsia="Calibri" w:hAnsi="Times New Roman" w:cs="Times New Roman"/>
          <w:color w:val="000000" w:themeColor="text1"/>
          <w:sz w:val="24"/>
          <w:szCs w:val="24"/>
        </w:rPr>
        <w:t>Spre deosebire de a</w:t>
      </w:r>
      <w:r w:rsidR="004A7A2D">
        <w:rPr>
          <w:rFonts w:ascii="Times New Roman" w:eastAsia="Calibri" w:hAnsi="Times New Roman" w:cs="Times New Roman"/>
          <w:color w:val="000000" w:themeColor="text1"/>
          <w:sz w:val="24"/>
          <w:szCs w:val="24"/>
        </w:rPr>
        <w:t>cestea, investițiile realizate î</w:t>
      </w:r>
      <w:r w:rsidR="005C37F8">
        <w:rPr>
          <w:rFonts w:ascii="Times New Roman" w:eastAsia="Calibri" w:hAnsi="Times New Roman" w:cs="Times New Roman"/>
          <w:color w:val="000000" w:themeColor="text1"/>
          <w:sz w:val="24"/>
          <w:szCs w:val="24"/>
        </w:rPr>
        <w:t>n perioada 2013-2015 se dovedesc ineficiente, în condițiile în care nu vor genera un randament superior costului de finanțare.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586"/>
      </w:tblGrid>
      <w:tr w:rsidR="005C37F8" w:rsidTr="00E20214">
        <w:tc>
          <w:tcPr>
            <w:tcW w:w="5353" w:type="dxa"/>
          </w:tcPr>
          <w:p w:rsidR="005C37F8" w:rsidRDefault="005C37F8" w:rsidP="006E7801">
            <w:pPr>
              <w:jc w:val="both"/>
              <w:rPr>
                <w:rFonts w:ascii="Times New Roman" w:eastAsia="Calibri" w:hAnsi="Times New Roman" w:cs="Times New Roman"/>
                <w:color w:val="000000" w:themeColor="text1"/>
                <w:sz w:val="24"/>
                <w:szCs w:val="24"/>
              </w:rPr>
            </w:pPr>
            <w:r w:rsidRPr="005C37F8">
              <w:rPr>
                <w:rFonts w:ascii="Times New Roman" w:eastAsia="Calibri" w:hAnsi="Times New Roman" w:cs="Times New Roman"/>
                <w:b/>
                <w:color w:val="000000" w:themeColor="text1"/>
                <w:sz w:val="24"/>
                <w:szCs w:val="24"/>
              </w:rPr>
              <w:t>Tabel 1</w:t>
            </w:r>
            <w:r>
              <w:rPr>
                <w:rFonts w:ascii="Times New Roman" w:eastAsia="Calibri" w:hAnsi="Times New Roman" w:cs="Times New Roman"/>
                <w:color w:val="000000" w:themeColor="text1"/>
                <w:sz w:val="24"/>
                <w:szCs w:val="24"/>
              </w:rPr>
              <w:t xml:space="preserve"> – Randamentul investițiilor în România</w:t>
            </w:r>
          </w:p>
          <w:p w:rsidR="005C37F8" w:rsidRDefault="005C37F8" w:rsidP="006E7801">
            <w:pPr>
              <w:jc w:val="both"/>
              <w:rPr>
                <w:rFonts w:ascii="Times New Roman" w:eastAsia="Calibri" w:hAnsi="Times New Roman" w:cs="Times New Roman"/>
                <w:color w:val="000000" w:themeColor="text1"/>
                <w:sz w:val="24"/>
                <w:szCs w:val="24"/>
              </w:rPr>
            </w:pPr>
          </w:p>
          <w:tbl>
            <w:tblPr>
              <w:tblW w:w="4815" w:type="dxa"/>
              <w:tblLook w:val="04A0" w:firstRow="1" w:lastRow="0" w:firstColumn="1" w:lastColumn="0" w:noHBand="0" w:noVBand="1"/>
            </w:tblPr>
            <w:tblGrid>
              <w:gridCol w:w="846"/>
              <w:gridCol w:w="763"/>
              <w:gridCol w:w="960"/>
              <w:gridCol w:w="813"/>
              <w:gridCol w:w="696"/>
              <w:gridCol w:w="763"/>
            </w:tblGrid>
            <w:tr w:rsidR="005C37F8" w:rsidRPr="005C37F8" w:rsidTr="005C37F8">
              <w:trPr>
                <w:trHeight w:val="288"/>
              </w:trPr>
              <w:tc>
                <w:tcPr>
                  <w:tcW w:w="846"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5C37F8" w:rsidRPr="005C37F8" w:rsidRDefault="005C37F8" w:rsidP="00DF012D">
                  <w:pPr>
                    <w:spacing w:after="0" w:line="240" w:lineRule="auto"/>
                    <w:jc w:val="center"/>
                    <w:rPr>
                      <w:rFonts w:ascii="Calibri" w:eastAsia="Times New Roman" w:hAnsi="Calibri" w:cs="Times New Roman"/>
                      <w:b/>
                      <w:bCs/>
                      <w:color w:val="FFFFFF"/>
                      <w:lang w:eastAsia="ro-RO"/>
                    </w:rPr>
                  </w:pPr>
                  <w:r w:rsidRPr="005C37F8">
                    <w:rPr>
                      <w:rFonts w:ascii="Calibri" w:eastAsia="Times New Roman" w:hAnsi="Calibri" w:cs="Times New Roman"/>
                      <w:b/>
                      <w:bCs/>
                      <w:color w:val="FFFFFF"/>
                      <w:lang w:eastAsia="ro-RO"/>
                    </w:rPr>
                    <w:t>Anul</w:t>
                  </w:r>
                </w:p>
              </w:tc>
              <w:tc>
                <w:tcPr>
                  <w:tcW w:w="763" w:type="dxa"/>
                  <w:tcBorders>
                    <w:top w:val="single" w:sz="4" w:space="0" w:color="auto"/>
                    <w:left w:val="nil"/>
                    <w:bottom w:val="single" w:sz="4" w:space="0" w:color="auto"/>
                    <w:right w:val="single" w:sz="4" w:space="0" w:color="auto"/>
                  </w:tcBorders>
                  <w:shd w:val="clear" w:color="4F81BD" w:fill="4F81BD"/>
                  <w:noWrap/>
                  <w:vAlign w:val="bottom"/>
                  <w:hideMark/>
                </w:tcPr>
                <w:p w:rsidR="005C37F8" w:rsidRPr="005C37F8" w:rsidRDefault="005C37F8" w:rsidP="00DF012D">
                  <w:pPr>
                    <w:spacing w:after="0" w:line="240" w:lineRule="auto"/>
                    <w:jc w:val="center"/>
                    <w:rPr>
                      <w:rFonts w:ascii="Calibri" w:eastAsia="Times New Roman" w:hAnsi="Calibri" w:cs="Times New Roman"/>
                      <w:b/>
                      <w:bCs/>
                      <w:color w:val="FFFFFF"/>
                      <w:lang w:eastAsia="ro-RO"/>
                    </w:rPr>
                  </w:pPr>
                  <w:r w:rsidRPr="005C37F8">
                    <w:rPr>
                      <w:rFonts w:ascii="Calibri" w:eastAsia="Times New Roman" w:hAnsi="Calibri" w:cs="Times New Roman"/>
                      <w:b/>
                      <w:bCs/>
                      <w:color w:val="FFFFFF"/>
                      <w:lang w:eastAsia="ro-RO"/>
                    </w:rPr>
                    <w:t>NPL</w:t>
                  </w:r>
                </w:p>
              </w:tc>
              <w:tc>
                <w:tcPr>
                  <w:tcW w:w="960" w:type="dxa"/>
                  <w:tcBorders>
                    <w:top w:val="single" w:sz="4" w:space="0" w:color="auto"/>
                    <w:left w:val="nil"/>
                    <w:bottom w:val="single" w:sz="4" w:space="0" w:color="auto"/>
                    <w:right w:val="single" w:sz="4" w:space="0" w:color="auto"/>
                  </w:tcBorders>
                  <w:shd w:val="clear" w:color="4F81BD" w:fill="4F81BD"/>
                  <w:noWrap/>
                  <w:vAlign w:val="bottom"/>
                  <w:hideMark/>
                </w:tcPr>
                <w:p w:rsidR="005C37F8" w:rsidRPr="005C37F8" w:rsidRDefault="005C37F8" w:rsidP="00DF012D">
                  <w:pPr>
                    <w:spacing w:after="0" w:line="240" w:lineRule="auto"/>
                    <w:jc w:val="center"/>
                    <w:rPr>
                      <w:rFonts w:ascii="Calibri" w:eastAsia="Times New Roman" w:hAnsi="Calibri" w:cs="Times New Roman"/>
                      <w:b/>
                      <w:bCs/>
                      <w:color w:val="FFFFFF"/>
                      <w:lang w:eastAsia="ro-RO"/>
                    </w:rPr>
                  </w:pPr>
                  <w:r w:rsidRPr="005C37F8">
                    <w:rPr>
                      <w:rFonts w:ascii="Calibri" w:eastAsia="Times New Roman" w:hAnsi="Calibri" w:cs="Times New Roman"/>
                      <w:b/>
                      <w:bCs/>
                      <w:color w:val="FFFFFF"/>
                      <w:lang w:eastAsia="ro-RO"/>
                    </w:rPr>
                    <w:t>Dobanzi Credite</w:t>
                  </w:r>
                </w:p>
              </w:tc>
              <w:tc>
                <w:tcPr>
                  <w:tcW w:w="813" w:type="dxa"/>
                  <w:tcBorders>
                    <w:top w:val="single" w:sz="4" w:space="0" w:color="auto"/>
                    <w:left w:val="nil"/>
                    <w:bottom w:val="single" w:sz="4" w:space="0" w:color="auto"/>
                    <w:right w:val="single" w:sz="4" w:space="0" w:color="auto"/>
                  </w:tcBorders>
                  <w:shd w:val="clear" w:color="4F81BD" w:fill="4F81BD"/>
                  <w:noWrap/>
                  <w:vAlign w:val="bottom"/>
                  <w:hideMark/>
                </w:tcPr>
                <w:p w:rsidR="005C37F8" w:rsidRPr="005C37F8" w:rsidRDefault="005C37F8" w:rsidP="00DF012D">
                  <w:pPr>
                    <w:spacing w:after="0" w:line="240" w:lineRule="auto"/>
                    <w:jc w:val="center"/>
                    <w:rPr>
                      <w:rFonts w:ascii="Calibri" w:eastAsia="Times New Roman" w:hAnsi="Calibri" w:cs="Times New Roman"/>
                      <w:b/>
                      <w:bCs/>
                      <w:color w:val="FFFFFF"/>
                      <w:lang w:eastAsia="ro-RO"/>
                    </w:rPr>
                  </w:pPr>
                  <w:r w:rsidRPr="005C37F8">
                    <w:rPr>
                      <w:rFonts w:ascii="Calibri" w:eastAsia="Times New Roman" w:hAnsi="Calibri" w:cs="Times New Roman"/>
                      <w:b/>
                      <w:bCs/>
                      <w:color w:val="FFFFFF"/>
                      <w:lang w:eastAsia="ro-RO"/>
                    </w:rPr>
                    <w:t>ROA (T+1)</w:t>
                  </w:r>
                </w:p>
              </w:tc>
              <w:tc>
                <w:tcPr>
                  <w:tcW w:w="696" w:type="dxa"/>
                  <w:tcBorders>
                    <w:top w:val="single" w:sz="4" w:space="0" w:color="auto"/>
                    <w:left w:val="nil"/>
                    <w:bottom w:val="single" w:sz="4" w:space="0" w:color="auto"/>
                    <w:right w:val="single" w:sz="4" w:space="0" w:color="auto"/>
                  </w:tcBorders>
                  <w:shd w:val="clear" w:color="4F81BD" w:fill="4F81BD"/>
                  <w:noWrap/>
                  <w:vAlign w:val="bottom"/>
                  <w:hideMark/>
                </w:tcPr>
                <w:p w:rsidR="005C37F8" w:rsidRPr="005C37F8" w:rsidRDefault="005C37F8" w:rsidP="00DF012D">
                  <w:pPr>
                    <w:spacing w:after="0" w:line="240" w:lineRule="auto"/>
                    <w:jc w:val="center"/>
                    <w:rPr>
                      <w:rFonts w:ascii="Calibri" w:eastAsia="Times New Roman" w:hAnsi="Calibri" w:cs="Times New Roman"/>
                      <w:b/>
                      <w:bCs/>
                      <w:color w:val="FFFFFF"/>
                      <w:lang w:eastAsia="ro-RO"/>
                    </w:rPr>
                  </w:pPr>
                  <w:r w:rsidRPr="005C37F8">
                    <w:rPr>
                      <w:rFonts w:ascii="Calibri" w:eastAsia="Times New Roman" w:hAnsi="Calibri" w:cs="Times New Roman"/>
                      <w:b/>
                      <w:bCs/>
                      <w:color w:val="FFFFFF"/>
                      <w:lang w:eastAsia="ro-RO"/>
                    </w:rPr>
                    <w:t>ROA (T+2)</w:t>
                  </w:r>
                </w:p>
              </w:tc>
              <w:tc>
                <w:tcPr>
                  <w:tcW w:w="737" w:type="dxa"/>
                  <w:tcBorders>
                    <w:top w:val="single" w:sz="4" w:space="0" w:color="auto"/>
                    <w:left w:val="nil"/>
                    <w:bottom w:val="single" w:sz="4" w:space="0" w:color="auto"/>
                    <w:right w:val="single" w:sz="4" w:space="0" w:color="auto"/>
                  </w:tcBorders>
                  <w:shd w:val="clear" w:color="4F81BD" w:fill="4F81BD"/>
                  <w:noWrap/>
                  <w:vAlign w:val="bottom"/>
                  <w:hideMark/>
                </w:tcPr>
                <w:p w:rsidR="005C37F8" w:rsidRPr="005C37F8" w:rsidRDefault="005C37F8" w:rsidP="00DF012D">
                  <w:pPr>
                    <w:spacing w:after="0" w:line="240" w:lineRule="auto"/>
                    <w:jc w:val="center"/>
                    <w:rPr>
                      <w:rFonts w:ascii="Calibri" w:eastAsia="Times New Roman" w:hAnsi="Calibri" w:cs="Times New Roman"/>
                      <w:b/>
                      <w:bCs/>
                      <w:color w:val="FFFFFF"/>
                      <w:lang w:eastAsia="ro-RO"/>
                    </w:rPr>
                  </w:pPr>
                  <w:r w:rsidRPr="005C37F8">
                    <w:rPr>
                      <w:rFonts w:ascii="Calibri" w:eastAsia="Times New Roman" w:hAnsi="Calibri" w:cs="Times New Roman"/>
                      <w:b/>
                      <w:bCs/>
                      <w:color w:val="FFFFFF"/>
                      <w:lang w:eastAsia="ro-RO"/>
                    </w:rPr>
                    <w:t>ROA (T+3)</w:t>
                  </w:r>
                </w:p>
              </w:tc>
            </w:tr>
            <w:tr w:rsidR="005C37F8" w:rsidRPr="005C37F8" w:rsidTr="005C37F8">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2010</w:t>
                  </w:r>
                </w:p>
              </w:tc>
              <w:tc>
                <w:tcPr>
                  <w:tcW w:w="76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11,9%</w:t>
                  </w:r>
                </w:p>
              </w:tc>
              <w:tc>
                <w:tcPr>
                  <w:tcW w:w="960"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11,4%</w:t>
                  </w:r>
                </w:p>
              </w:tc>
              <w:tc>
                <w:tcPr>
                  <w:tcW w:w="81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5,2%</w:t>
                  </w:r>
                </w:p>
              </w:tc>
              <w:tc>
                <w:tcPr>
                  <w:tcW w:w="696"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9,7%</w:t>
                  </w:r>
                </w:p>
              </w:tc>
              <w:tc>
                <w:tcPr>
                  <w:tcW w:w="737"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15,0%</w:t>
                  </w:r>
                </w:p>
              </w:tc>
            </w:tr>
            <w:tr w:rsidR="005C37F8" w:rsidRPr="005C37F8" w:rsidTr="005C37F8">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2011</w:t>
                  </w:r>
                </w:p>
              </w:tc>
              <w:tc>
                <w:tcPr>
                  <w:tcW w:w="76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14,3%</w:t>
                  </w:r>
                </w:p>
              </w:tc>
              <w:tc>
                <w:tcPr>
                  <w:tcW w:w="960"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9,7%</w:t>
                  </w:r>
                </w:p>
              </w:tc>
              <w:tc>
                <w:tcPr>
                  <w:tcW w:w="81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5,4%</w:t>
                  </w:r>
                </w:p>
              </w:tc>
              <w:tc>
                <w:tcPr>
                  <w:tcW w:w="696"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8,1%</w:t>
                  </w:r>
                </w:p>
              </w:tc>
              <w:tc>
                <w:tcPr>
                  <w:tcW w:w="737"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13,5%</w:t>
                  </w:r>
                </w:p>
              </w:tc>
            </w:tr>
            <w:tr w:rsidR="005C37F8" w:rsidRPr="005C37F8" w:rsidTr="005C37F8">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2012</w:t>
                  </w:r>
                </w:p>
              </w:tc>
              <w:tc>
                <w:tcPr>
                  <w:tcW w:w="76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18,2%</w:t>
                  </w:r>
                </w:p>
              </w:tc>
              <w:tc>
                <w:tcPr>
                  <w:tcW w:w="960"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9,6%</w:t>
                  </w:r>
                </w:p>
              </w:tc>
              <w:tc>
                <w:tcPr>
                  <w:tcW w:w="81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5,1%</w:t>
                  </w:r>
                </w:p>
              </w:tc>
              <w:tc>
                <w:tcPr>
                  <w:tcW w:w="696"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9,4%</w:t>
                  </w:r>
                </w:p>
              </w:tc>
              <w:tc>
                <w:tcPr>
                  <w:tcW w:w="737"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11,8%</w:t>
                  </w:r>
                </w:p>
              </w:tc>
            </w:tr>
            <w:tr w:rsidR="005C37F8" w:rsidRPr="005C37F8" w:rsidTr="005C37F8">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2013</w:t>
                  </w:r>
                </w:p>
              </w:tc>
              <w:tc>
                <w:tcPr>
                  <w:tcW w:w="76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21,9%</w:t>
                  </w:r>
                </w:p>
              </w:tc>
              <w:tc>
                <w:tcPr>
                  <w:tcW w:w="960"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8,7%</w:t>
                  </w:r>
                </w:p>
              </w:tc>
              <w:tc>
                <w:tcPr>
                  <w:tcW w:w="81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3,3%</w:t>
                  </w:r>
                </w:p>
              </w:tc>
              <w:tc>
                <w:tcPr>
                  <w:tcW w:w="696"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5,4%</w:t>
                  </w:r>
                </w:p>
              </w:tc>
              <w:tc>
                <w:tcPr>
                  <w:tcW w:w="737"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6,2%</w:t>
                  </w:r>
                </w:p>
              </w:tc>
            </w:tr>
            <w:tr w:rsidR="005C37F8" w:rsidRPr="005C37F8" w:rsidTr="005C37F8">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2014</w:t>
                  </w:r>
                </w:p>
              </w:tc>
              <w:tc>
                <w:tcPr>
                  <w:tcW w:w="76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13,9%</w:t>
                  </w:r>
                </w:p>
              </w:tc>
              <w:tc>
                <w:tcPr>
                  <w:tcW w:w="960"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6,5%</w:t>
                  </w:r>
                </w:p>
              </w:tc>
              <w:tc>
                <w:tcPr>
                  <w:tcW w:w="81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0,9%</w:t>
                  </w:r>
                </w:p>
              </w:tc>
              <w:tc>
                <w:tcPr>
                  <w:tcW w:w="696"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2,3%</w:t>
                  </w:r>
                </w:p>
              </w:tc>
              <w:tc>
                <w:tcPr>
                  <w:tcW w:w="737"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 </w:t>
                  </w:r>
                </w:p>
              </w:tc>
            </w:tr>
            <w:tr w:rsidR="005C37F8" w:rsidRPr="005C37F8" w:rsidTr="005C37F8">
              <w:trPr>
                <w:trHeight w:val="288"/>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2015</w:t>
                  </w:r>
                </w:p>
              </w:tc>
              <w:tc>
                <w:tcPr>
                  <w:tcW w:w="76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11,3%</w:t>
                  </w:r>
                </w:p>
              </w:tc>
              <w:tc>
                <w:tcPr>
                  <w:tcW w:w="960"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4,8%</w:t>
                  </w:r>
                </w:p>
              </w:tc>
              <w:tc>
                <w:tcPr>
                  <w:tcW w:w="813"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-1,8%</w:t>
                  </w:r>
                </w:p>
              </w:tc>
              <w:tc>
                <w:tcPr>
                  <w:tcW w:w="696"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 </w:t>
                  </w:r>
                </w:p>
              </w:tc>
              <w:tc>
                <w:tcPr>
                  <w:tcW w:w="737" w:type="dxa"/>
                  <w:tcBorders>
                    <w:top w:val="nil"/>
                    <w:left w:val="nil"/>
                    <w:bottom w:val="single" w:sz="4" w:space="0" w:color="auto"/>
                    <w:right w:val="single" w:sz="4" w:space="0" w:color="auto"/>
                  </w:tcBorders>
                  <w:shd w:val="clear" w:color="auto" w:fill="auto"/>
                  <w:noWrap/>
                  <w:vAlign w:val="bottom"/>
                  <w:hideMark/>
                </w:tcPr>
                <w:p w:rsidR="005C37F8" w:rsidRPr="005C37F8" w:rsidRDefault="005C37F8" w:rsidP="00DF012D">
                  <w:pPr>
                    <w:spacing w:after="0" w:line="240" w:lineRule="auto"/>
                    <w:jc w:val="center"/>
                    <w:rPr>
                      <w:rFonts w:ascii="Calibri" w:eastAsia="Times New Roman" w:hAnsi="Calibri" w:cs="Times New Roman"/>
                      <w:color w:val="000000"/>
                      <w:lang w:eastAsia="ro-RO"/>
                    </w:rPr>
                  </w:pPr>
                  <w:r w:rsidRPr="005C37F8">
                    <w:rPr>
                      <w:rFonts w:ascii="Calibri" w:eastAsia="Times New Roman" w:hAnsi="Calibri" w:cs="Times New Roman"/>
                      <w:color w:val="000000"/>
                      <w:lang w:eastAsia="ro-RO"/>
                    </w:rPr>
                    <w:t> </w:t>
                  </w:r>
                </w:p>
              </w:tc>
            </w:tr>
          </w:tbl>
          <w:p w:rsidR="005C37F8" w:rsidRDefault="005C37F8" w:rsidP="006E7801">
            <w:pPr>
              <w:jc w:val="both"/>
              <w:rPr>
                <w:rFonts w:ascii="Times New Roman" w:eastAsia="Calibri" w:hAnsi="Times New Roman" w:cs="Times New Roman"/>
                <w:color w:val="000000" w:themeColor="text1"/>
                <w:sz w:val="24"/>
                <w:szCs w:val="24"/>
              </w:rPr>
            </w:pPr>
          </w:p>
          <w:p w:rsidR="005C37F8" w:rsidRPr="005C37F8" w:rsidRDefault="005C37F8" w:rsidP="005C37F8">
            <w:pPr>
              <w:jc w:val="both"/>
              <w:rPr>
                <w:rFonts w:ascii="Times New Roman" w:eastAsia="Calibri" w:hAnsi="Times New Roman" w:cs="Times New Roman"/>
                <w:i/>
                <w:color w:val="000000" w:themeColor="text1"/>
                <w:sz w:val="24"/>
                <w:szCs w:val="24"/>
              </w:rPr>
            </w:pPr>
            <w:r w:rsidRPr="005C37F8">
              <w:rPr>
                <w:rFonts w:ascii="Times New Roman" w:eastAsia="Calibri" w:hAnsi="Times New Roman" w:cs="Times New Roman"/>
                <w:i/>
                <w:color w:val="000000" w:themeColor="text1"/>
                <w:sz w:val="24"/>
                <w:szCs w:val="24"/>
              </w:rPr>
              <w:t xml:space="preserve">Sursa –date prelucrate autor </w:t>
            </w:r>
            <w:r>
              <w:rPr>
                <w:rFonts w:ascii="Times New Roman" w:eastAsia="Calibri" w:hAnsi="Times New Roman" w:cs="Times New Roman"/>
                <w:i/>
                <w:color w:val="000000" w:themeColor="text1"/>
                <w:sz w:val="24"/>
                <w:szCs w:val="24"/>
              </w:rPr>
              <w:t>în ba baza situațiilor financiare (bilanț, cont de profit și pierdere) depuse la Ministerul Finanțelor Publice</w:t>
            </w:r>
          </w:p>
        </w:tc>
        <w:tc>
          <w:tcPr>
            <w:tcW w:w="5353" w:type="dxa"/>
          </w:tcPr>
          <w:p w:rsidR="005C37F8" w:rsidRDefault="005C37F8" w:rsidP="006E7801">
            <w:pPr>
              <w:jc w:val="both"/>
              <w:rPr>
                <w:rFonts w:ascii="Times New Roman" w:eastAsia="Calibri" w:hAnsi="Times New Roman" w:cs="Times New Roman"/>
                <w:color w:val="000000" w:themeColor="text1"/>
                <w:sz w:val="24"/>
                <w:szCs w:val="24"/>
              </w:rPr>
            </w:pPr>
            <w:r w:rsidRPr="005C37F8">
              <w:rPr>
                <w:rFonts w:ascii="Times New Roman" w:eastAsia="Calibri" w:hAnsi="Times New Roman" w:cs="Times New Roman"/>
                <w:b/>
                <w:color w:val="000000" w:themeColor="text1"/>
                <w:sz w:val="24"/>
                <w:szCs w:val="24"/>
              </w:rPr>
              <w:t>Grafic 3</w:t>
            </w:r>
            <w:r>
              <w:rPr>
                <w:rFonts w:ascii="Times New Roman" w:eastAsia="Calibri" w:hAnsi="Times New Roman" w:cs="Times New Roman"/>
                <w:color w:val="000000" w:themeColor="text1"/>
                <w:sz w:val="24"/>
                <w:szCs w:val="24"/>
              </w:rPr>
              <w:t xml:space="preserve"> – Randamentul investițiilor vs cost finanțare</w:t>
            </w:r>
          </w:p>
          <w:p w:rsidR="005C37F8" w:rsidRDefault="005C37F8" w:rsidP="006E7801">
            <w:pPr>
              <w:jc w:val="both"/>
              <w:rPr>
                <w:rFonts w:ascii="Times New Roman" w:eastAsia="Calibri" w:hAnsi="Times New Roman" w:cs="Times New Roman"/>
                <w:color w:val="000000" w:themeColor="text1"/>
                <w:sz w:val="24"/>
                <w:szCs w:val="24"/>
              </w:rPr>
            </w:pPr>
            <w:r>
              <w:rPr>
                <w:noProof/>
                <w:lang w:eastAsia="ro-RO"/>
              </w:rPr>
              <w:drawing>
                <wp:inline distT="0" distB="0" distL="0" distR="0" wp14:anchorId="4CA79130" wp14:editId="5379BF78">
                  <wp:extent cx="3403600" cy="28956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B94B76" w:rsidRPr="00B94B76" w:rsidRDefault="00B94B76" w:rsidP="00235059">
      <w:pPr>
        <w:jc w:val="both"/>
        <w:rPr>
          <w:rFonts w:ascii="Times New Roman" w:eastAsia="Calibri" w:hAnsi="Times New Roman" w:cs="Times New Roman"/>
          <w:color w:val="000000" w:themeColor="text1"/>
          <w:sz w:val="4"/>
          <w:szCs w:val="24"/>
        </w:rPr>
      </w:pPr>
    </w:p>
    <w:p w:rsidR="00570B6A" w:rsidRDefault="00B94B76" w:rsidP="00B94B76">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Interesant este faptul ca vremea dobânzilor mici a apus în România, și această dinamică va fi observată și in restul țărilor din Uniunea Europeană în perioada următoare. </w:t>
      </w:r>
      <w:r w:rsidR="00235059" w:rsidRPr="00235059">
        <w:rPr>
          <w:rFonts w:ascii="Times New Roman" w:eastAsia="Calibri" w:hAnsi="Times New Roman" w:cs="Times New Roman"/>
          <w:color w:val="000000" w:themeColor="text1"/>
          <w:sz w:val="24"/>
          <w:szCs w:val="24"/>
        </w:rPr>
        <w:t>Începând cu ianuarie 2018, BCE a redus la jumătate volumul achiziţiilor lunare de active, de la 60 de miliarde de euro la 30 de miliarde de euro, diminuând programul s</w:t>
      </w:r>
      <w:r>
        <w:rPr>
          <w:rFonts w:ascii="Times New Roman" w:eastAsia="Calibri" w:hAnsi="Times New Roman" w:cs="Times New Roman"/>
          <w:color w:val="000000" w:themeColor="text1"/>
          <w:sz w:val="24"/>
          <w:szCs w:val="24"/>
        </w:rPr>
        <w:t>ău de relaxare cantitativă (QE)</w:t>
      </w:r>
      <w:r w:rsidR="00235059" w:rsidRPr="00235059">
        <w:rPr>
          <w:rFonts w:ascii="Times New Roman" w:eastAsia="Calibri" w:hAnsi="Times New Roman" w:cs="Times New Roman"/>
          <w:color w:val="000000" w:themeColor="text1"/>
          <w:sz w:val="24"/>
          <w:szCs w:val="24"/>
        </w:rPr>
        <w:t xml:space="preserve"> pe fondul redresării economiei și creșterii inflației catre ținta de 2%. </w:t>
      </w:r>
      <w:r>
        <w:rPr>
          <w:rFonts w:ascii="Times New Roman" w:eastAsia="Calibri" w:hAnsi="Times New Roman" w:cs="Times New Roman"/>
          <w:color w:val="000000" w:themeColor="text1"/>
          <w:sz w:val="24"/>
          <w:szCs w:val="24"/>
        </w:rPr>
        <w:t xml:space="preserve">Astfel, </w:t>
      </w:r>
      <w:r w:rsidR="0088758F" w:rsidRPr="00B94B76">
        <w:rPr>
          <w:rFonts w:ascii="Times New Roman" w:eastAsia="Calibri" w:hAnsi="Times New Roman" w:cs="Times New Roman"/>
          <w:color w:val="000000" w:themeColor="text1"/>
          <w:sz w:val="24"/>
          <w:szCs w:val="24"/>
        </w:rPr>
        <w:t>Banca Centrală Europeană se îndreap</w:t>
      </w:r>
      <w:r w:rsidR="0088758F" w:rsidRPr="00B94B76">
        <w:rPr>
          <w:rFonts w:ascii="Times New Roman" w:eastAsia="Calibri" w:hAnsi="Times New Roman" w:cs="Times New Roman"/>
          <w:color w:val="000000" w:themeColor="text1"/>
          <w:sz w:val="24"/>
          <w:szCs w:val="24"/>
        </w:rPr>
        <w:softHyphen/>
        <w:t>tă uşor către încheierea a patru ani de măsuri de relaxare cantitativă, iar această misiune pare una uşoară comparativ cu ceea ce va urma. După încheierea progra</w:t>
      </w:r>
      <w:r w:rsidR="0088758F" w:rsidRPr="00B94B76">
        <w:rPr>
          <w:rFonts w:ascii="Times New Roman" w:eastAsia="Calibri" w:hAnsi="Times New Roman" w:cs="Times New Roman"/>
          <w:color w:val="000000" w:themeColor="text1"/>
          <w:sz w:val="24"/>
          <w:szCs w:val="24"/>
        </w:rPr>
        <w:softHyphen/>
        <w:t>mului de achiziţii de active în acest an, în 2019 consiliul guvernator al băncii ar putea îndrăzni să retragă practic stimulentele pentru prima dată din 2012 cu una sau mai multe ma</w:t>
      </w:r>
      <w:r w:rsidR="0088758F" w:rsidRPr="00B94B76">
        <w:rPr>
          <w:rFonts w:ascii="Times New Roman" w:eastAsia="Calibri" w:hAnsi="Times New Roman" w:cs="Times New Roman"/>
          <w:color w:val="000000" w:themeColor="text1"/>
          <w:sz w:val="24"/>
          <w:szCs w:val="24"/>
        </w:rPr>
        <w:softHyphen/>
        <w:t>jorări de dobânzi. </w:t>
      </w:r>
      <w:r w:rsidR="0087570E" w:rsidRPr="00B94B76">
        <w:rPr>
          <w:rFonts w:ascii="Times New Roman" w:eastAsia="Calibri" w:hAnsi="Times New Roman" w:cs="Times New Roman"/>
          <w:color w:val="000000" w:themeColor="text1"/>
          <w:sz w:val="24"/>
          <w:szCs w:val="24"/>
        </w:rPr>
        <w:t xml:space="preserve"> Aşteptările pieţei privind o primă majorare a ratelor dobânzilor la mijlocul anului viitor 'probabil nu sunt în întregime nerealiste', a declarat Jens Weidmann, membru în consiliul guvernatorilor Băncii </w:t>
      </w:r>
      <w:r w:rsidR="0087570E" w:rsidRPr="00B94B76">
        <w:rPr>
          <w:rFonts w:ascii="Times New Roman" w:eastAsia="Calibri" w:hAnsi="Times New Roman" w:cs="Times New Roman"/>
          <w:color w:val="000000" w:themeColor="text1"/>
          <w:sz w:val="24"/>
          <w:szCs w:val="24"/>
        </w:rPr>
        <w:lastRenderedPageBreak/>
        <w:t>Centrale Europene, într-un discurs rostit la Viena.</w:t>
      </w:r>
      <w:r>
        <w:rPr>
          <w:rFonts w:ascii="Times New Roman" w:eastAsia="Calibri" w:hAnsi="Times New Roman" w:cs="Times New Roman"/>
          <w:color w:val="000000" w:themeColor="text1"/>
          <w:sz w:val="24"/>
          <w:szCs w:val="24"/>
        </w:rPr>
        <w:t xml:space="preserve"> </w:t>
      </w:r>
      <w:r w:rsidR="0087570E" w:rsidRPr="00B94B76">
        <w:rPr>
          <w:rFonts w:ascii="Times New Roman" w:eastAsia="Calibri" w:hAnsi="Times New Roman" w:cs="Times New Roman"/>
          <w:color w:val="000000" w:themeColor="text1"/>
          <w:sz w:val="24"/>
          <w:szCs w:val="24"/>
        </w:rPr>
        <w:t>Acesta a adăugat: 'Pe termen mediu, în linie cu perspectiva privind inflaţia, politica monetară trebuie normalizată pentru a recâştiga spaţiu de manevră. Încheierea programului de relaxare cantitativă (QE) este doar începutul procesului de normalizare a politicii monetare, care va dura câţiva ani, şi de aceea este foarte important să înceapă curând'</w:t>
      </w:r>
      <w:r>
        <w:rPr>
          <w:rFonts w:ascii="Times New Roman" w:eastAsia="Calibri" w:hAnsi="Times New Roman" w:cs="Times New Roman"/>
          <w:color w:val="000000" w:themeColor="text1"/>
          <w:sz w:val="24"/>
          <w:szCs w:val="24"/>
        </w:rPr>
        <w:t>.</w:t>
      </w:r>
    </w:p>
    <w:p w:rsidR="00B94B76" w:rsidRPr="00B94B76" w:rsidRDefault="00B94B76" w:rsidP="00B94B76">
      <w:pPr>
        <w:jc w:val="both"/>
        <w:rPr>
          <w:rFonts w:ascii="Times New Roman" w:eastAsia="Calibri" w:hAnsi="Times New Roman" w:cs="Times New Roman"/>
          <w:b/>
          <w:color w:val="000000" w:themeColor="text1"/>
          <w:sz w:val="24"/>
          <w:szCs w:val="24"/>
        </w:rPr>
      </w:pPr>
      <w:r w:rsidRPr="00B94B76">
        <w:rPr>
          <w:rFonts w:ascii="Times New Roman" w:eastAsia="Calibri" w:hAnsi="Times New Roman" w:cs="Times New Roman"/>
          <w:b/>
          <w:color w:val="000000" w:themeColor="text1"/>
          <w:sz w:val="24"/>
          <w:szCs w:val="24"/>
        </w:rPr>
        <w:t>Care sunt implicațiile</w:t>
      </w:r>
      <w:r w:rsidR="009D319A">
        <w:rPr>
          <w:rFonts w:ascii="Times New Roman" w:eastAsia="Calibri" w:hAnsi="Times New Roman" w:cs="Times New Roman"/>
          <w:b/>
          <w:color w:val="000000" w:themeColor="text1"/>
          <w:sz w:val="24"/>
          <w:szCs w:val="24"/>
        </w:rPr>
        <w:t xml:space="preserve"> și oportunitățile</w:t>
      </w:r>
      <w:r w:rsidRPr="00B94B76">
        <w:rPr>
          <w:rFonts w:ascii="Times New Roman" w:eastAsia="Calibri" w:hAnsi="Times New Roman" w:cs="Times New Roman"/>
          <w:b/>
          <w:color w:val="000000" w:themeColor="text1"/>
          <w:sz w:val="24"/>
          <w:szCs w:val="24"/>
        </w:rPr>
        <w:t xml:space="preserve">? </w:t>
      </w:r>
    </w:p>
    <w:p w:rsidR="00B94B76" w:rsidRDefault="006151DE" w:rsidP="00B94B76">
      <w:pPr>
        <w:jc w:val="both"/>
        <w:rPr>
          <w:rFonts w:ascii="Times New Roman" w:eastAsia="Calibri" w:hAnsi="Times New Roman" w:cs="Times New Roman"/>
          <w:sz w:val="24"/>
          <w:szCs w:val="24"/>
        </w:rPr>
      </w:pPr>
      <w:r>
        <w:rPr>
          <w:rFonts w:ascii="Times New Roman" w:eastAsia="Calibri" w:hAnsi="Times New Roman" w:cs="Times New Roman"/>
          <w:sz w:val="24"/>
          <w:szCs w:val="24"/>
        </w:rPr>
        <w:t>Așa cum am arătat într</w:t>
      </w:r>
      <w:r w:rsidR="00671D87">
        <w:rPr>
          <w:rFonts w:ascii="Times New Roman" w:eastAsia="Calibri" w:hAnsi="Times New Roman" w:cs="Times New Roman"/>
          <w:sz w:val="24"/>
          <w:szCs w:val="24"/>
        </w:rPr>
        <w:t>-</w:t>
      </w:r>
      <w:r>
        <w:rPr>
          <w:rFonts w:ascii="Times New Roman" w:eastAsia="Calibri" w:hAnsi="Times New Roman" w:cs="Times New Roman"/>
          <w:sz w:val="24"/>
          <w:szCs w:val="24"/>
        </w:rPr>
        <w:t>un articol anterior (</w:t>
      </w:r>
      <w:r w:rsidRPr="00B22FFA">
        <w:rPr>
          <w:rFonts w:ascii="Times New Roman" w:eastAsia="Calibri" w:hAnsi="Times New Roman" w:cs="Times New Roman"/>
          <w:b/>
          <w:sz w:val="24"/>
          <w:szCs w:val="24"/>
        </w:rPr>
        <w:t>Secretul unei investiții eficiente</w:t>
      </w:r>
      <w:r>
        <w:rPr>
          <w:rFonts w:ascii="Times New Roman" w:eastAsia="Calibri" w:hAnsi="Times New Roman" w:cs="Times New Roman"/>
          <w:sz w:val="24"/>
          <w:szCs w:val="24"/>
        </w:rPr>
        <w:t xml:space="preserve"> – </w:t>
      </w:r>
      <w:r w:rsidRPr="00907B57">
        <w:rPr>
          <w:rFonts w:ascii="Times New Roman" w:eastAsia="Calibri" w:hAnsi="Times New Roman" w:cs="Times New Roman"/>
          <w:b/>
          <w:sz w:val="24"/>
          <w:szCs w:val="24"/>
        </w:rPr>
        <w:t>alegerea momentului perfect</w:t>
      </w:r>
      <w:r>
        <w:rPr>
          <w:rFonts w:ascii="Times New Roman" w:eastAsia="Calibri" w:hAnsi="Times New Roman" w:cs="Times New Roman"/>
          <w:sz w:val="24"/>
          <w:szCs w:val="24"/>
        </w:rPr>
        <w:t xml:space="preserve">, </w:t>
      </w:r>
      <w:r w:rsidRPr="00907B57">
        <w:rPr>
          <w:rFonts w:ascii="Times New Roman" w:eastAsia="Calibri" w:hAnsi="Times New Roman" w:cs="Times New Roman"/>
          <w:i/>
          <w:sz w:val="24"/>
          <w:szCs w:val="24"/>
        </w:rPr>
        <w:t>25 martie 2018</w:t>
      </w:r>
      <w:r>
        <w:rPr>
          <w:rFonts w:ascii="Times New Roman" w:eastAsia="Calibri" w:hAnsi="Times New Roman" w:cs="Times New Roman"/>
          <w:sz w:val="24"/>
          <w:szCs w:val="24"/>
        </w:rPr>
        <w:t>), r</w:t>
      </w:r>
      <w:r w:rsidRPr="00376DE4">
        <w:rPr>
          <w:rFonts w:ascii="Times New Roman" w:eastAsia="Calibri" w:hAnsi="Times New Roman" w:cs="Times New Roman"/>
          <w:sz w:val="24"/>
          <w:szCs w:val="24"/>
        </w:rPr>
        <w:t>ata de supraviețuire a companiilor înființate î</w:t>
      </w:r>
      <w:r>
        <w:rPr>
          <w:rFonts w:ascii="Times New Roman" w:eastAsia="Calibri" w:hAnsi="Times New Roman" w:cs="Times New Roman"/>
          <w:sz w:val="24"/>
          <w:szCs w:val="24"/>
        </w:rPr>
        <w:t>n perioada de creștere acelerat</w:t>
      </w:r>
      <w:r w:rsidRPr="00376DE4">
        <w:rPr>
          <w:rFonts w:ascii="Times New Roman" w:eastAsia="Calibri" w:hAnsi="Times New Roman" w:cs="Times New Roman"/>
          <w:sz w:val="24"/>
          <w:szCs w:val="24"/>
        </w:rPr>
        <w:t>ă</w:t>
      </w:r>
      <w:r>
        <w:rPr>
          <w:rFonts w:ascii="Times New Roman" w:eastAsia="Calibri" w:hAnsi="Times New Roman" w:cs="Times New Roman"/>
          <w:sz w:val="24"/>
          <w:szCs w:val="24"/>
        </w:rPr>
        <w:t xml:space="preserve"> (perioada 2007-2008</w:t>
      </w:r>
      <w:r w:rsidRPr="00376DE4">
        <w:rPr>
          <w:rFonts w:ascii="Times New Roman" w:eastAsia="Calibri" w:hAnsi="Times New Roman" w:cs="Times New Roman"/>
          <w:sz w:val="24"/>
          <w:szCs w:val="24"/>
        </w:rPr>
        <w:t>) este cea mai scăzută. Aceste companii s-au bazat pe un plan de afaceri foarte optimist, considerând nivelul foarte mare de creștere al PIB real din perioada respectivă. În acest context, investițiile au fost calibrate la un nivel foarte mare de creștere economică, fără să considere scenarii de stres privind impactul crizei financiare pe plan local. De asemenea, aceste companii au investit în active supraevaluate (terenuri, construcții), pe fondul bulei imobiliare din perioada respectivă. Astfel, investiția inițială în proiectele de afaceri care s-au extins în perioada respectivă a fost supraevaluată, fiind alimentată de credite foarte mari contractate de la bănci și furnizori</w:t>
      </w:r>
      <w:r>
        <w:rPr>
          <w:rFonts w:ascii="Times New Roman" w:eastAsia="Calibri" w:hAnsi="Times New Roman" w:cs="Times New Roman"/>
          <w:sz w:val="24"/>
          <w:szCs w:val="24"/>
        </w:rPr>
        <w:t>. Cred că acest lucru este valabil și pentru cele aproape 100.000 de companii înființate pe parcursul anului 2017, într-un an de creștere accelerată mult peste nivelul potențial.</w:t>
      </w:r>
      <w:r w:rsidR="005F44C5">
        <w:rPr>
          <w:rFonts w:ascii="Times New Roman" w:eastAsia="Calibri" w:hAnsi="Times New Roman" w:cs="Times New Roman"/>
          <w:sz w:val="24"/>
          <w:szCs w:val="24"/>
        </w:rPr>
        <w:t xml:space="preserve"> </w:t>
      </w:r>
      <w:r w:rsidR="002D2554">
        <w:rPr>
          <w:rFonts w:ascii="Times New Roman" w:eastAsia="Calibri" w:hAnsi="Times New Roman" w:cs="Times New Roman"/>
          <w:sz w:val="24"/>
          <w:szCs w:val="24"/>
        </w:rPr>
        <w:t>Dacă aceste firma s-au înființat ca u</w:t>
      </w:r>
      <w:r w:rsidR="00AE611A">
        <w:rPr>
          <w:rFonts w:ascii="Times New Roman" w:eastAsia="Calibri" w:hAnsi="Times New Roman" w:cs="Times New Roman"/>
          <w:sz w:val="24"/>
          <w:szCs w:val="24"/>
        </w:rPr>
        <w:t>rmare doar a efectului de turmă,</w:t>
      </w:r>
      <w:r w:rsidR="002D2554">
        <w:rPr>
          <w:rFonts w:ascii="Times New Roman" w:eastAsia="Calibri" w:hAnsi="Times New Roman" w:cs="Times New Roman"/>
          <w:sz w:val="24"/>
          <w:szCs w:val="24"/>
        </w:rPr>
        <w:t xml:space="preserve"> în contextul oportunismului temporar al dobânzilor ieftine, </w:t>
      </w:r>
      <w:r w:rsidR="002D2554" w:rsidRPr="00376DE4">
        <w:rPr>
          <w:rFonts w:ascii="Times New Roman" w:eastAsia="Calibri" w:hAnsi="Times New Roman" w:cs="Times New Roman"/>
          <w:sz w:val="24"/>
          <w:szCs w:val="24"/>
        </w:rPr>
        <w:t xml:space="preserve">doar 45% dintre </w:t>
      </w:r>
      <w:r w:rsidR="002D2554">
        <w:rPr>
          <w:rFonts w:ascii="Times New Roman" w:eastAsia="Calibri" w:hAnsi="Times New Roman" w:cs="Times New Roman"/>
          <w:sz w:val="24"/>
          <w:szCs w:val="24"/>
        </w:rPr>
        <w:t>acestea</w:t>
      </w:r>
      <w:r w:rsidR="002D2554" w:rsidRPr="00376DE4">
        <w:rPr>
          <w:rFonts w:ascii="Times New Roman" w:eastAsia="Calibri" w:hAnsi="Times New Roman" w:cs="Times New Roman"/>
          <w:sz w:val="24"/>
          <w:szCs w:val="24"/>
        </w:rPr>
        <w:t xml:space="preserve"> vor m</w:t>
      </w:r>
      <w:r w:rsidR="00F34527">
        <w:rPr>
          <w:rFonts w:ascii="Times New Roman" w:eastAsia="Calibri" w:hAnsi="Times New Roman" w:cs="Times New Roman"/>
          <w:sz w:val="24"/>
          <w:szCs w:val="24"/>
        </w:rPr>
        <w:t>ai fi în funcțiune în 2022-2023.</w:t>
      </w:r>
      <w:r w:rsidR="009B325A">
        <w:rPr>
          <w:rFonts w:ascii="Times New Roman" w:eastAsia="Calibri" w:hAnsi="Times New Roman" w:cs="Times New Roman"/>
          <w:sz w:val="24"/>
          <w:szCs w:val="24"/>
        </w:rPr>
        <w:t xml:space="preserve"> </w:t>
      </w:r>
      <w:r w:rsidR="009B325A" w:rsidRPr="009B325A">
        <w:rPr>
          <w:rFonts w:ascii="Times New Roman" w:eastAsia="Calibri" w:hAnsi="Times New Roman" w:cs="Times New Roman"/>
          <w:b/>
          <w:sz w:val="24"/>
          <w:szCs w:val="24"/>
        </w:rPr>
        <w:t>Ce e val, ca valul trece!</w:t>
      </w:r>
      <w:r w:rsidR="00F34527">
        <w:rPr>
          <w:rFonts w:ascii="Times New Roman" w:eastAsia="Calibri" w:hAnsi="Times New Roman" w:cs="Times New Roman"/>
          <w:sz w:val="24"/>
          <w:szCs w:val="24"/>
        </w:rPr>
        <w:t xml:space="preserve"> </w:t>
      </w:r>
      <w:r w:rsidR="00AE611A">
        <w:rPr>
          <w:rFonts w:ascii="Times New Roman" w:eastAsia="Calibri" w:hAnsi="Times New Roman" w:cs="Times New Roman"/>
          <w:sz w:val="24"/>
          <w:szCs w:val="24"/>
        </w:rPr>
        <w:t xml:space="preserve">În schimb, dacă aceste afaceri au în spate antreprenori vizionari, </w:t>
      </w:r>
      <w:r w:rsidR="00401CC6">
        <w:rPr>
          <w:rFonts w:ascii="Times New Roman" w:eastAsia="Calibri" w:hAnsi="Times New Roman" w:cs="Times New Roman"/>
          <w:sz w:val="24"/>
          <w:szCs w:val="24"/>
        </w:rPr>
        <w:t xml:space="preserve">adevărați profesioniști, </w:t>
      </w:r>
      <w:r w:rsidR="00AE611A">
        <w:rPr>
          <w:rFonts w:ascii="Times New Roman" w:eastAsia="Calibri" w:hAnsi="Times New Roman" w:cs="Times New Roman"/>
          <w:sz w:val="24"/>
          <w:szCs w:val="24"/>
        </w:rPr>
        <w:t>care</w:t>
      </w:r>
      <w:r w:rsidR="00401CC6">
        <w:rPr>
          <w:rFonts w:ascii="Times New Roman" w:eastAsia="Calibri" w:hAnsi="Times New Roman" w:cs="Times New Roman"/>
          <w:sz w:val="24"/>
          <w:szCs w:val="24"/>
        </w:rPr>
        <w:t xml:space="preserve"> pun multă pasiune în tot ceea ce fac și</w:t>
      </w:r>
      <w:r w:rsidR="00AE611A">
        <w:rPr>
          <w:rFonts w:ascii="Times New Roman" w:eastAsia="Calibri" w:hAnsi="Times New Roman" w:cs="Times New Roman"/>
          <w:sz w:val="24"/>
          <w:szCs w:val="24"/>
        </w:rPr>
        <w:t xml:space="preserve"> </w:t>
      </w:r>
      <w:r w:rsidR="00401CC6">
        <w:rPr>
          <w:rFonts w:ascii="Times New Roman" w:eastAsia="Calibri" w:hAnsi="Times New Roman" w:cs="Times New Roman"/>
          <w:sz w:val="24"/>
          <w:szCs w:val="24"/>
        </w:rPr>
        <w:t>cred foarte mult în produsul / serviciul lor, atunci aceștia vor reuș</w:t>
      </w:r>
      <w:r w:rsidR="00524F3D">
        <w:rPr>
          <w:rFonts w:ascii="Times New Roman" w:eastAsia="Calibri" w:hAnsi="Times New Roman" w:cs="Times New Roman"/>
          <w:sz w:val="24"/>
          <w:szCs w:val="24"/>
        </w:rPr>
        <w:t>i, indiferent de creșterea dobâ</w:t>
      </w:r>
      <w:r w:rsidR="00401CC6">
        <w:rPr>
          <w:rFonts w:ascii="Times New Roman" w:eastAsia="Calibri" w:hAnsi="Times New Roman" w:cs="Times New Roman"/>
          <w:sz w:val="24"/>
          <w:szCs w:val="24"/>
        </w:rPr>
        <w:t xml:space="preserve">nzilor sau impactul următoarei recesiuni. </w:t>
      </w:r>
    </w:p>
    <w:p w:rsidR="002363A4" w:rsidRPr="00826BEF" w:rsidRDefault="00B61B3F" w:rsidP="002363A4">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Interesant este faptul că aproape o treime din firmele active astăzi în România nu dispun de un profit operațional suficient pentru acoperirea cheltuielilor privind dobânzile pe parcursul anului curent (așa cum am remarcat în articolul publica</w:t>
      </w:r>
      <w:r w:rsidR="009A47E5">
        <w:rPr>
          <w:rFonts w:ascii="Times New Roman" w:eastAsia="Calibri" w:hAnsi="Times New Roman" w:cs="Times New Roman"/>
          <w:color w:val="000000" w:themeColor="text1"/>
          <w:sz w:val="24"/>
          <w:szCs w:val="24"/>
        </w:rPr>
        <w:t>t săptămâna trecută</w:t>
      </w:r>
      <w:r>
        <w:rPr>
          <w:rFonts w:ascii="Times New Roman" w:eastAsia="Calibri" w:hAnsi="Times New Roman" w:cs="Times New Roman"/>
          <w:color w:val="000000" w:themeColor="text1"/>
          <w:sz w:val="24"/>
          <w:szCs w:val="24"/>
        </w:rPr>
        <w:t xml:space="preserve"> – </w:t>
      </w:r>
      <w:r w:rsidRPr="00B61B3F">
        <w:rPr>
          <w:rFonts w:ascii="Times New Roman" w:eastAsia="Calibri" w:hAnsi="Times New Roman" w:cs="Times New Roman"/>
          <w:b/>
          <w:color w:val="000000" w:themeColor="text1"/>
          <w:sz w:val="24"/>
          <w:szCs w:val="24"/>
        </w:rPr>
        <w:t>Fragilitatea companiilor la fluctuația costului de finanțare</w:t>
      </w:r>
      <w:r>
        <w:rPr>
          <w:rFonts w:ascii="Times New Roman" w:eastAsia="Calibri" w:hAnsi="Times New Roman" w:cs="Times New Roman"/>
          <w:color w:val="000000" w:themeColor="text1"/>
          <w:sz w:val="24"/>
          <w:szCs w:val="24"/>
        </w:rPr>
        <w:t>)</w:t>
      </w:r>
      <w:r w:rsidR="009A47E5">
        <w:rPr>
          <w:rFonts w:ascii="Times New Roman" w:eastAsia="Calibri" w:hAnsi="Times New Roman" w:cs="Times New Roman"/>
          <w:color w:val="000000" w:themeColor="text1"/>
          <w:sz w:val="24"/>
          <w:szCs w:val="24"/>
        </w:rPr>
        <w:t xml:space="preserve">. </w:t>
      </w:r>
      <w:r w:rsidR="008956A0">
        <w:rPr>
          <w:rFonts w:ascii="Times New Roman" w:eastAsia="Calibri" w:hAnsi="Times New Roman" w:cs="Times New Roman"/>
          <w:color w:val="000000" w:themeColor="text1"/>
          <w:sz w:val="24"/>
          <w:szCs w:val="24"/>
        </w:rPr>
        <w:t>Practic, aceasta reprezintă o mare oportunitate pentru restul firmelor, care vor rezista acestor ș</w:t>
      </w:r>
      <w:r w:rsidR="001361EA">
        <w:rPr>
          <w:rFonts w:ascii="Times New Roman" w:eastAsia="Calibri" w:hAnsi="Times New Roman" w:cs="Times New Roman"/>
          <w:color w:val="000000" w:themeColor="text1"/>
          <w:sz w:val="24"/>
          <w:szCs w:val="24"/>
        </w:rPr>
        <w:t xml:space="preserve">ocuri, sau cele nou înființate – </w:t>
      </w:r>
      <w:r w:rsidR="001361EA" w:rsidRPr="009B325A">
        <w:rPr>
          <w:rFonts w:ascii="Times New Roman" w:eastAsia="Calibri" w:hAnsi="Times New Roman" w:cs="Times New Roman"/>
          <w:b/>
          <w:color w:val="000000" w:themeColor="text1"/>
          <w:sz w:val="24"/>
          <w:szCs w:val="24"/>
        </w:rPr>
        <w:t xml:space="preserve">acestea </w:t>
      </w:r>
      <w:r w:rsidR="009B325A">
        <w:rPr>
          <w:rFonts w:ascii="Times New Roman" w:eastAsia="Calibri" w:hAnsi="Times New Roman" w:cs="Times New Roman"/>
          <w:b/>
          <w:color w:val="000000" w:themeColor="text1"/>
          <w:sz w:val="24"/>
          <w:szCs w:val="24"/>
        </w:rPr>
        <w:t>vor investi când banii sunt scumpi și greu de accesat, dar vor cre</w:t>
      </w:r>
      <w:r w:rsidR="00826BEF">
        <w:rPr>
          <w:rFonts w:ascii="Times New Roman" w:eastAsia="Calibri" w:hAnsi="Times New Roman" w:cs="Times New Roman"/>
          <w:b/>
          <w:color w:val="000000" w:themeColor="text1"/>
          <w:sz w:val="24"/>
          <w:szCs w:val="24"/>
        </w:rPr>
        <w:t>ș</w:t>
      </w:r>
      <w:r w:rsidR="009B325A">
        <w:rPr>
          <w:rFonts w:ascii="Times New Roman" w:eastAsia="Calibri" w:hAnsi="Times New Roman" w:cs="Times New Roman"/>
          <w:b/>
          <w:color w:val="000000" w:themeColor="text1"/>
          <w:sz w:val="24"/>
          <w:szCs w:val="24"/>
        </w:rPr>
        <w:t xml:space="preserve">te afacerea semnificativ și foarte sănătos, deoarece </w:t>
      </w:r>
      <w:r w:rsidR="001361EA" w:rsidRPr="009B325A">
        <w:rPr>
          <w:rFonts w:ascii="Times New Roman" w:eastAsia="Calibri" w:hAnsi="Times New Roman" w:cs="Times New Roman"/>
          <w:b/>
          <w:color w:val="000000" w:themeColor="text1"/>
          <w:sz w:val="24"/>
          <w:szCs w:val="24"/>
        </w:rPr>
        <w:t>vor acoperi golul lăsat de catre firmele care vor intra în insolvență</w:t>
      </w:r>
      <w:r w:rsidR="001361EA">
        <w:rPr>
          <w:rFonts w:ascii="Times New Roman" w:eastAsia="Calibri" w:hAnsi="Times New Roman" w:cs="Times New Roman"/>
          <w:color w:val="000000" w:themeColor="text1"/>
          <w:sz w:val="24"/>
          <w:szCs w:val="24"/>
        </w:rPr>
        <w:t>!</w:t>
      </w:r>
      <w:r w:rsidR="00826BEF">
        <w:rPr>
          <w:rFonts w:ascii="Times New Roman" w:eastAsia="Calibri" w:hAnsi="Times New Roman" w:cs="Times New Roman"/>
          <w:color w:val="000000" w:themeColor="text1"/>
          <w:sz w:val="24"/>
          <w:szCs w:val="24"/>
        </w:rPr>
        <w:t xml:space="preserve"> </w:t>
      </w:r>
      <w:proofErr w:type="spellStart"/>
      <w:r w:rsidR="00826BEF">
        <w:rPr>
          <w:rFonts w:ascii="Times New Roman" w:eastAsia="Calibri" w:hAnsi="Times New Roman" w:cs="Times New Roman"/>
          <w:color w:val="000000" w:themeColor="text1"/>
          <w:sz w:val="24"/>
          <w:szCs w:val="24"/>
          <w:lang w:val="en"/>
        </w:rPr>
        <w:t>În</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acest</w:t>
      </w:r>
      <w:proofErr w:type="spellEnd"/>
      <w:r w:rsidR="00826BEF">
        <w:rPr>
          <w:rFonts w:ascii="Times New Roman" w:eastAsia="Calibri" w:hAnsi="Times New Roman" w:cs="Times New Roman"/>
          <w:color w:val="000000" w:themeColor="text1"/>
          <w:sz w:val="24"/>
          <w:szCs w:val="24"/>
          <w:lang w:val="en"/>
        </w:rPr>
        <w:t xml:space="preserve"> context, </w:t>
      </w:r>
      <w:proofErr w:type="spellStart"/>
      <w:r w:rsidR="00826BEF">
        <w:rPr>
          <w:rFonts w:ascii="Times New Roman" w:eastAsia="Calibri" w:hAnsi="Times New Roman" w:cs="Times New Roman"/>
          <w:color w:val="000000" w:themeColor="text1"/>
          <w:sz w:val="24"/>
          <w:szCs w:val="24"/>
          <w:lang w:val="en"/>
        </w:rPr>
        <w:t>este</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foarte</w:t>
      </w:r>
      <w:proofErr w:type="spellEnd"/>
      <w:r w:rsidR="00826BEF">
        <w:rPr>
          <w:rFonts w:ascii="Times New Roman" w:eastAsia="Calibri" w:hAnsi="Times New Roman" w:cs="Times New Roman"/>
          <w:color w:val="000000" w:themeColor="text1"/>
          <w:sz w:val="24"/>
          <w:szCs w:val="24"/>
          <w:lang w:val="en"/>
        </w:rPr>
        <w:t xml:space="preserve"> important </w:t>
      </w:r>
      <w:proofErr w:type="spellStart"/>
      <w:r w:rsidR="00826BEF">
        <w:rPr>
          <w:rFonts w:ascii="Times New Roman" w:eastAsia="Calibri" w:hAnsi="Times New Roman" w:cs="Times New Roman"/>
          <w:color w:val="000000" w:themeColor="text1"/>
          <w:sz w:val="24"/>
          <w:szCs w:val="24"/>
          <w:lang w:val="en"/>
        </w:rPr>
        <w:t>pentru</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antreprenorii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actuali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și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viitori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să</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beneficieze</w:t>
      </w:r>
      <w:proofErr w:type="spellEnd"/>
      <w:r w:rsidR="00826BEF">
        <w:rPr>
          <w:rFonts w:ascii="Times New Roman" w:eastAsia="Calibri" w:hAnsi="Times New Roman" w:cs="Times New Roman"/>
          <w:color w:val="000000" w:themeColor="text1"/>
          <w:sz w:val="24"/>
          <w:szCs w:val="24"/>
          <w:lang w:val="en"/>
        </w:rPr>
        <w:t xml:space="preserve"> de </w:t>
      </w:r>
      <w:proofErr w:type="spellStart"/>
      <w:r w:rsidR="00826BEF">
        <w:rPr>
          <w:rFonts w:ascii="Times New Roman" w:eastAsia="Calibri" w:hAnsi="Times New Roman" w:cs="Times New Roman"/>
          <w:color w:val="000000" w:themeColor="text1"/>
          <w:sz w:val="24"/>
          <w:szCs w:val="24"/>
          <w:lang w:val="en"/>
        </w:rPr>
        <w:t>aceste</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oportunități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și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să</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capteze</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creșterea</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potențială</w:t>
      </w:r>
      <w:proofErr w:type="spellEnd"/>
      <w:r w:rsidR="002363A4" w:rsidRPr="004B2202">
        <w:rPr>
          <w:rFonts w:ascii="Times New Roman" w:eastAsia="Calibri" w:hAnsi="Times New Roman" w:cs="Times New Roman"/>
          <w:color w:val="000000" w:themeColor="text1"/>
          <w:sz w:val="24"/>
          <w:szCs w:val="24"/>
          <w:lang w:val="en"/>
        </w:rPr>
        <w:t>,</w:t>
      </w:r>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prin</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strategii</w:t>
      </w:r>
      <w:proofErr w:type="spellEnd"/>
      <w:r w:rsidR="00826BEF">
        <w:rPr>
          <w:rFonts w:ascii="Times New Roman" w:eastAsia="Calibri" w:hAnsi="Times New Roman" w:cs="Times New Roman"/>
          <w:color w:val="000000" w:themeColor="text1"/>
          <w:sz w:val="24"/>
          <w:szCs w:val="24"/>
          <w:lang w:val="en"/>
        </w:rPr>
        <w:t xml:space="preserve"> care </w:t>
      </w:r>
      <w:proofErr w:type="spellStart"/>
      <w:r w:rsidR="00826BEF">
        <w:rPr>
          <w:rFonts w:ascii="Times New Roman" w:eastAsia="Calibri" w:hAnsi="Times New Roman" w:cs="Times New Roman"/>
          <w:color w:val="000000" w:themeColor="text1"/>
          <w:sz w:val="24"/>
          <w:szCs w:val="24"/>
          <w:lang w:val="en"/>
        </w:rPr>
        <w:t>să</w:t>
      </w:r>
      <w:proofErr w:type="spellEnd"/>
      <w:r w:rsidR="00826BEF">
        <w:rPr>
          <w:rFonts w:ascii="Times New Roman" w:eastAsia="Calibri" w:hAnsi="Times New Roman" w:cs="Times New Roman"/>
          <w:color w:val="000000" w:themeColor="text1"/>
          <w:sz w:val="24"/>
          <w:szCs w:val="24"/>
          <w:lang w:val="en"/>
        </w:rPr>
        <w:t xml:space="preserve"> evite </w:t>
      </w:r>
      <w:proofErr w:type="spellStart"/>
      <w:r w:rsidR="00826BEF">
        <w:rPr>
          <w:rFonts w:ascii="Times New Roman" w:eastAsia="Calibri" w:hAnsi="Times New Roman" w:cs="Times New Roman"/>
          <w:color w:val="000000" w:themeColor="text1"/>
          <w:sz w:val="24"/>
          <w:szCs w:val="24"/>
          <w:lang w:val="en"/>
        </w:rPr>
        <w:t>greșelile</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companiilor</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insolvente</w:t>
      </w:r>
      <w:proofErr w:type="spellEnd"/>
      <w:r w:rsidR="00826BEF">
        <w:rPr>
          <w:rFonts w:ascii="Times New Roman" w:eastAsia="Calibri" w:hAnsi="Times New Roman" w:cs="Times New Roman"/>
          <w:color w:val="000000" w:themeColor="text1"/>
          <w:sz w:val="24"/>
          <w:szCs w:val="24"/>
          <w:lang w:val="en"/>
        </w:rPr>
        <w:t xml:space="preserve">. Exact </w:t>
      </w:r>
      <w:proofErr w:type="spellStart"/>
      <w:r w:rsidR="00826BEF">
        <w:rPr>
          <w:rFonts w:ascii="Times New Roman" w:eastAsia="Calibri" w:hAnsi="Times New Roman" w:cs="Times New Roman"/>
          <w:color w:val="000000" w:themeColor="text1"/>
          <w:sz w:val="24"/>
          <w:szCs w:val="24"/>
          <w:lang w:val="en"/>
        </w:rPr>
        <w:t>în</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acest</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scop</w:t>
      </w:r>
      <w:proofErr w:type="spellEnd"/>
      <w:r w:rsidR="00826BEF">
        <w:rPr>
          <w:rFonts w:ascii="Times New Roman" w:eastAsia="Calibri" w:hAnsi="Times New Roman" w:cs="Times New Roman"/>
          <w:color w:val="000000" w:themeColor="text1"/>
          <w:sz w:val="24"/>
          <w:szCs w:val="24"/>
          <w:lang w:val="en"/>
        </w:rPr>
        <w:t xml:space="preserve"> am </w:t>
      </w:r>
      <w:proofErr w:type="spellStart"/>
      <w:r w:rsidR="00826BEF">
        <w:rPr>
          <w:rFonts w:ascii="Times New Roman" w:eastAsia="Calibri" w:hAnsi="Times New Roman" w:cs="Times New Roman"/>
          <w:color w:val="000000" w:themeColor="text1"/>
          <w:sz w:val="24"/>
          <w:szCs w:val="24"/>
          <w:lang w:val="en"/>
        </w:rPr>
        <w:t>scris</w:t>
      </w:r>
      <w:proofErr w:type="spellEnd"/>
      <w:r w:rsidR="00826BEF">
        <w:rPr>
          <w:rFonts w:ascii="Times New Roman" w:eastAsia="Calibri" w:hAnsi="Times New Roman" w:cs="Times New Roman"/>
          <w:color w:val="000000" w:themeColor="text1"/>
          <w:sz w:val="24"/>
          <w:szCs w:val="24"/>
          <w:lang w:val="en"/>
        </w:rPr>
        <w:t xml:space="preserve"> prima </w:t>
      </w:r>
      <w:proofErr w:type="spellStart"/>
      <w:r w:rsidR="00826BEF">
        <w:rPr>
          <w:rFonts w:ascii="Times New Roman" w:eastAsia="Calibri" w:hAnsi="Times New Roman" w:cs="Times New Roman"/>
          <w:color w:val="000000" w:themeColor="text1"/>
          <w:sz w:val="24"/>
          <w:szCs w:val="24"/>
          <w:lang w:val="en"/>
        </w:rPr>
        <w:t>mea</w:t>
      </w:r>
      <w:proofErr w:type="spellEnd"/>
      <w:r w:rsidR="00826BEF">
        <w:rPr>
          <w:rFonts w:ascii="Times New Roman" w:eastAsia="Calibri" w:hAnsi="Times New Roman" w:cs="Times New Roman"/>
          <w:color w:val="000000" w:themeColor="text1"/>
          <w:sz w:val="24"/>
          <w:szCs w:val="24"/>
          <w:lang w:val="en"/>
        </w:rPr>
        <w:t xml:space="preserve"> carte,</w:t>
      </w:r>
      <w:r w:rsidR="002363A4" w:rsidRPr="004B2202">
        <w:rPr>
          <w:rFonts w:ascii="Times New Roman" w:eastAsia="Calibri" w:hAnsi="Times New Roman" w:cs="Times New Roman"/>
          <w:color w:val="000000" w:themeColor="text1"/>
          <w:sz w:val="24"/>
          <w:szCs w:val="24"/>
          <w:lang w:val="en"/>
        </w:rPr>
        <w:t xml:space="preserve"> </w:t>
      </w:r>
      <w:proofErr w:type="spellStart"/>
      <w:r w:rsidR="002363A4" w:rsidRPr="004B2202">
        <w:rPr>
          <w:rFonts w:ascii="Times New Roman" w:eastAsia="Calibri" w:hAnsi="Times New Roman" w:cs="Times New Roman"/>
          <w:color w:val="000000" w:themeColor="text1"/>
          <w:sz w:val="24"/>
          <w:szCs w:val="24"/>
          <w:lang w:val="en"/>
        </w:rPr>
        <w:t>intitulată</w:t>
      </w:r>
      <w:proofErr w:type="spellEnd"/>
      <w:r w:rsidR="002363A4" w:rsidRPr="004B2202">
        <w:rPr>
          <w:rFonts w:ascii="Times New Roman" w:eastAsia="Calibri" w:hAnsi="Times New Roman" w:cs="Times New Roman"/>
          <w:color w:val="000000" w:themeColor="text1"/>
          <w:sz w:val="24"/>
          <w:szCs w:val="24"/>
          <w:lang w:val="en"/>
        </w:rPr>
        <w:t xml:space="preserve"> “</w:t>
      </w:r>
      <w:r w:rsidR="002363A4" w:rsidRPr="004B2202">
        <w:rPr>
          <w:rFonts w:ascii="Times New Roman" w:eastAsia="Calibri" w:hAnsi="Times New Roman" w:cs="Times New Roman"/>
          <w:b/>
          <w:color w:val="000000" w:themeColor="text1"/>
          <w:sz w:val="24"/>
          <w:szCs w:val="24"/>
          <w:lang w:val="en"/>
        </w:rPr>
        <w:t xml:space="preserve">De </w:t>
      </w:r>
      <w:proofErr w:type="spellStart"/>
      <w:r w:rsidR="002363A4" w:rsidRPr="004B2202">
        <w:rPr>
          <w:rFonts w:ascii="Times New Roman" w:eastAsia="Calibri" w:hAnsi="Times New Roman" w:cs="Times New Roman"/>
          <w:b/>
          <w:color w:val="000000" w:themeColor="text1"/>
          <w:sz w:val="24"/>
          <w:szCs w:val="24"/>
          <w:lang w:val="en"/>
        </w:rPr>
        <w:t>ce</w:t>
      </w:r>
      <w:proofErr w:type="spellEnd"/>
      <w:r w:rsidR="002363A4" w:rsidRPr="004B2202">
        <w:rPr>
          <w:rFonts w:ascii="Times New Roman" w:eastAsia="Calibri" w:hAnsi="Times New Roman" w:cs="Times New Roman"/>
          <w:b/>
          <w:color w:val="000000" w:themeColor="text1"/>
          <w:sz w:val="24"/>
          <w:szCs w:val="24"/>
          <w:lang w:val="en"/>
        </w:rPr>
        <w:t xml:space="preserve"> </w:t>
      </w:r>
      <w:proofErr w:type="spellStart"/>
      <w:r w:rsidR="002363A4" w:rsidRPr="004B2202">
        <w:rPr>
          <w:rFonts w:ascii="Times New Roman" w:eastAsia="Calibri" w:hAnsi="Times New Roman" w:cs="Times New Roman"/>
          <w:b/>
          <w:color w:val="000000" w:themeColor="text1"/>
          <w:sz w:val="24"/>
          <w:szCs w:val="24"/>
          <w:lang w:val="en"/>
        </w:rPr>
        <w:t>esuează</w:t>
      </w:r>
      <w:proofErr w:type="spellEnd"/>
      <w:r w:rsidR="002363A4" w:rsidRPr="004B2202">
        <w:rPr>
          <w:rFonts w:ascii="Times New Roman" w:eastAsia="Calibri" w:hAnsi="Times New Roman" w:cs="Times New Roman"/>
          <w:b/>
          <w:color w:val="000000" w:themeColor="text1"/>
          <w:sz w:val="24"/>
          <w:szCs w:val="24"/>
          <w:lang w:val="en"/>
        </w:rPr>
        <w:t xml:space="preserve"> </w:t>
      </w:r>
      <w:proofErr w:type="spellStart"/>
      <w:r w:rsidR="002363A4" w:rsidRPr="004B2202">
        <w:rPr>
          <w:rFonts w:ascii="Times New Roman" w:eastAsia="Calibri" w:hAnsi="Times New Roman" w:cs="Times New Roman"/>
          <w:b/>
          <w:color w:val="000000" w:themeColor="text1"/>
          <w:sz w:val="24"/>
          <w:szCs w:val="24"/>
          <w:lang w:val="en"/>
        </w:rPr>
        <w:t>companiile</w:t>
      </w:r>
      <w:proofErr w:type="spellEnd"/>
      <w:r w:rsidR="002363A4" w:rsidRPr="004B2202">
        <w:rPr>
          <w:rFonts w:ascii="Times New Roman" w:eastAsia="Calibri" w:hAnsi="Times New Roman" w:cs="Times New Roman"/>
          <w:b/>
          <w:color w:val="000000" w:themeColor="text1"/>
          <w:sz w:val="24"/>
          <w:szCs w:val="24"/>
          <w:lang w:val="en"/>
        </w:rPr>
        <w:t xml:space="preserve">? 10 </w:t>
      </w:r>
      <w:proofErr w:type="spellStart"/>
      <w:r w:rsidR="002363A4" w:rsidRPr="004B2202">
        <w:rPr>
          <w:rFonts w:ascii="Times New Roman" w:eastAsia="Calibri" w:hAnsi="Times New Roman" w:cs="Times New Roman"/>
          <w:b/>
          <w:color w:val="000000" w:themeColor="text1"/>
          <w:sz w:val="24"/>
          <w:szCs w:val="24"/>
          <w:lang w:val="en"/>
        </w:rPr>
        <w:t>Greșeli</w:t>
      </w:r>
      <w:proofErr w:type="spellEnd"/>
      <w:r w:rsidR="002363A4" w:rsidRPr="004B2202">
        <w:rPr>
          <w:rFonts w:ascii="Times New Roman" w:eastAsia="Calibri" w:hAnsi="Times New Roman" w:cs="Times New Roman"/>
          <w:b/>
          <w:color w:val="000000" w:themeColor="text1"/>
          <w:sz w:val="24"/>
          <w:szCs w:val="24"/>
          <w:lang w:val="en"/>
        </w:rPr>
        <w:t xml:space="preserve"> </w:t>
      </w:r>
      <w:proofErr w:type="spellStart"/>
      <w:r w:rsidR="002363A4" w:rsidRPr="004B2202">
        <w:rPr>
          <w:rFonts w:ascii="Times New Roman" w:eastAsia="Calibri" w:hAnsi="Times New Roman" w:cs="Times New Roman"/>
          <w:b/>
          <w:color w:val="000000" w:themeColor="text1"/>
          <w:sz w:val="24"/>
          <w:szCs w:val="24"/>
          <w:lang w:val="en"/>
        </w:rPr>
        <w:t>și</w:t>
      </w:r>
      <w:proofErr w:type="spellEnd"/>
      <w:r w:rsidR="002363A4" w:rsidRPr="004B2202">
        <w:rPr>
          <w:rFonts w:ascii="Times New Roman" w:eastAsia="Calibri" w:hAnsi="Times New Roman" w:cs="Times New Roman"/>
          <w:b/>
          <w:color w:val="000000" w:themeColor="text1"/>
          <w:sz w:val="24"/>
          <w:szCs w:val="24"/>
          <w:lang w:val="en"/>
        </w:rPr>
        <w:t xml:space="preserve"> 100 </w:t>
      </w:r>
      <w:proofErr w:type="spellStart"/>
      <w:r w:rsidR="002363A4" w:rsidRPr="004B2202">
        <w:rPr>
          <w:rFonts w:ascii="Times New Roman" w:eastAsia="Calibri" w:hAnsi="Times New Roman" w:cs="Times New Roman"/>
          <w:b/>
          <w:color w:val="000000" w:themeColor="text1"/>
          <w:sz w:val="24"/>
          <w:szCs w:val="24"/>
          <w:lang w:val="en"/>
        </w:rPr>
        <w:t>Soluții</w:t>
      </w:r>
      <w:proofErr w:type="spellEnd"/>
      <w:r w:rsidR="002363A4" w:rsidRPr="004B2202">
        <w:rPr>
          <w:rFonts w:ascii="Times New Roman" w:eastAsia="Calibri" w:hAnsi="Times New Roman" w:cs="Times New Roman"/>
          <w:color w:val="000000" w:themeColor="text1"/>
          <w:sz w:val="24"/>
          <w:szCs w:val="24"/>
          <w:lang w:val="en"/>
        </w:rPr>
        <w:t xml:space="preserve">”, </w:t>
      </w:r>
      <w:proofErr w:type="spellStart"/>
      <w:r w:rsidR="002363A4" w:rsidRPr="004B2202">
        <w:rPr>
          <w:rFonts w:ascii="Times New Roman" w:eastAsia="Calibri" w:hAnsi="Times New Roman" w:cs="Times New Roman"/>
          <w:color w:val="000000" w:themeColor="text1"/>
          <w:sz w:val="24"/>
          <w:szCs w:val="24"/>
          <w:lang w:val="en"/>
        </w:rPr>
        <w:t>Editura</w:t>
      </w:r>
      <w:proofErr w:type="spellEnd"/>
      <w:r w:rsidR="002363A4" w:rsidRPr="004B2202">
        <w:rPr>
          <w:rFonts w:ascii="Times New Roman" w:eastAsia="Calibri" w:hAnsi="Times New Roman" w:cs="Times New Roman"/>
          <w:color w:val="000000" w:themeColor="text1"/>
          <w:sz w:val="24"/>
          <w:szCs w:val="24"/>
          <w:lang w:val="en"/>
        </w:rPr>
        <w:t xml:space="preserve"> </w:t>
      </w:r>
      <w:proofErr w:type="spellStart"/>
      <w:r w:rsidR="002363A4" w:rsidRPr="004B2202">
        <w:rPr>
          <w:rFonts w:ascii="Times New Roman" w:eastAsia="Calibri" w:hAnsi="Times New Roman" w:cs="Times New Roman"/>
          <w:color w:val="000000" w:themeColor="text1"/>
          <w:sz w:val="24"/>
          <w:szCs w:val="24"/>
          <w:lang w:val="en"/>
        </w:rPr>
        <w:t>Publica</w:t>
      </w:r>
      <w:proofErr w:type="spellEnd"/>
      <w:r w:rsidR="002363A4" w:rsidRPr="004B2202">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prin</w:t>
      </w:r>
      <w:proofErr w:type="spellEnd"/>
      <w:r w:rsidR="00826BEF">
        <w:rPr>
          <w:rFonts w:ascii="Times New Roman" w:eastAsia="Calibri" w:hAnsi="Times New Roman" w:cs="Times New Roman"/>
          <w:color w:val="000000" w:themeColor="text1"/>
          <w:sz w:val="24"/>
          <w:szCs w:val="24"/>
          <w:lang w:val="en"/>
        </w:rPr>
        <w:t xml:space="preserve"> care </w:t>
      </w:r>
      <w:proofErr w:type="spellStart"/>
      <w:r w:rsidR="00826BEF">
        <w:rPr>
          <w:rFonts w:ascii="Times New Roman" w:eastAsia="Calibri" w:hAnsi="Times New Roman" w:cs="Times New Roman"/>
          <w:color w:val="000000" w:themeColor="text1"/>
          <w:sz w:val="24"/>
          <w:szCs w:val="24"/>
          <w:lang w:val="en"/>
        </w:rPr>
        <w:t>încerc</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să</w:t>
      </w:r>
      <w:proofErr w:type="spellEnd"/>
      <w:r w:rsidR="00826BEF">
        <w:rPr>
          <w:rFonts w:ascii="Times New Roman" w:eastAsia="Calibri" w:hAnsi="Times New Roman" w:cs="Times New Roman"/>
          <w:color w:val="000000" w:themeColor="text1"/>
          <w:sz w:val="24"/>
          <w:szCs w:val="24"/>
          <w:lang w:val="en"/>
        </w:rPr>
        <w:t xml:space="preserve"> transform </w:t>
      </w:r>
      <w:proofErr w:type="spellStart"/>
      <w:r w:rsidR="00826BEF">
        <w:rPr>
          <w:rFonts w:ascii="Times New Roman" w:eastAsia="Calibri" w:hAnsi="Times New Roman" w:cs="Times New Roman"/>
          <w:color w:val="000000" w:themeColor="text1"/>
          <w:sz w:val="24"/>
          <w:szCs w:val="24"/>
          <w:lang w:val="en"/>
        </w:rPr>
        <w:t>eșecul</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altora</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într</w:t>
      </w:r>
      <w:proofErr w:type="spellEnd"/>
      <w:r w:rsidR="00826BEF">
        <w:rPr>
          <w:rFonts w:ascii="Times New Roman" w:eastAsia="Calibri" w:hAnsi="Times New Roman" w:cs="Times New Roman"/>
          <w:color w:val="000000" w:themeColor="text1"/>
          <w:sz w:val="24"/>
          <w:szCs w:val="24"/>
          <w:lang w:val="en"/>
        </w:rPr>
        <w:t xml:space="preserve">-o </w:t>
      </w:r>
      <w:proofErr w:type="spellStart"/>
      <w:r w:rsidR="00826BEF">
        <w:rPr>
          <w:rFonts w:ascii="Times New Roman" w:eastAsia="Calibri" w:hAnsi="Times New Roman" w:cs="Times New Roman"/>
          <w:color w:val="000000" w:themeColor="text1"/>
          <w:sz w:val="24"/>
          <w:szCs w:val="24"/>
          <w:lang w:val="en"/>
        </w:rPr>
        <w:t>curbă</w:t>
      </w:r>
      <w:proofErr w:type="spellEnd"/>
      <w:r w:rsidR="00826BEF">
        <w:rPr>
          <w:rFonts w:ascii="Times New Roman" w:eastAsia="Calibri" w:hAnsi="Times New Roman" w:cs="Times New Roman"/>
          <w:color w:val="000000" w:themeColor="text1"/>
          <w:sz w:val="24"/>
          <w:szCs w:val="24"/>
          <w:lang w:val="en"/>
        </w:rPr>
        <w:t xml:space="preserve"> a </w:t>
      </w:r>
      <w:proofErr w:type="spellStart"/>
      <w:r w:rsidR="00826BEF">
        <w:rPr>
          <w:rFonts w:ascii="Times New Roman" w:eastAsia="Calibri" w:hAnsi="Times New Roman" w:cs="Times New Roman"/>
          <w:color w:val="000000" w:themeColor="text1"/>
          <w:sz w:val="24"/>
          <w:szCs w:val="24"/>
          <w:lang w:val="en"/>
        </w:rPr>
        <w:t>învățării</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pentru</w:t>
      </w:r>
      <w:proofErr w:type="spellEnd"/>
      <w:r w:rsidR="00826BEF">
        <w:rPr>
          <w:rFonts w:ascii="Times New Roman" w:eastAsia="Calibri" w:hAnsi="Times New Roman" w:cs="Times New Roman"/>
          <w:color w:val="000000" w:themeColor="text1"/>
          <w:sz w:val="24"/>
          <w:szCs w:val="24"/>
          <w:lang w:val="en"/>
        </w:rPr>
        <w:t xml:space="preserve"> </w:t>
      </w:r>
      <w:proofErr w:type="spellStart"/>
      <w:r w:rsidR="00826BEF">
        <w:rPr>
          <w:rFonts w:ascii="Times New Roman" w:eastAsia="Calibri" w:hAnsi="Times New Roman" w:cs="Times New Roman"/>
          <w:color w:val="000000" w:themeColor="text1"/>
          <w:sz w:val="24"/>
          <w:szCs w:val="24"/>
          <w:lang w:val="en"/>
        </w:rPr>
        <w:t>antreprenori</w:t>
      </w:r>
      <w:proofErr w:type="spellEnd"/>
      <w:r w:rsidR="00826BEF">
        <w:rPr>
          <w:rFonts w:ascii="Times New Roman" w:eastAsia="Calibri" w:hAnsi="Times New Roman" w:cs="Times New Roman"/>
          <w:color w:val="000000" w:themeColor="text1"/>
          <w:sz w:val="24"/>
          <w:szCs w:val="24"/>
          <w:lang w:val="en"/>
        </w:rPr>
        <w:t>!</w:t>
      </w:r>
    </w:p>
    <w:p w:rsidR="00BA401B" w:rsidRPr="00F72D58" w:rsidRDefault="0017469A" w:rsidP="00F72D58">
      <w:pPr>
        <w:jc w:val="both"/>
        <w:rPr>
          <w:rFonts w:ascii="Times New Roman" w:eastAsia="Calibri" w:hAnsi="Times New Roman" w:cs="Times New Roman"/>
          <w:color w:val="000000" w:themeColor="text1"/>
          <w:sz w:val="24"/>
          <w:szCs w:val="24"/>
          <w:lang w:val="en"/>
        </w:rPr>
      </w:pPr>
      <w:proofErr w:type="spellStart"/>
      <w:r>
        <w:rPr>
          <w:rFonts w:ascii="Times New Roman" w:eastAsia="Calibri" w:hAnsi="Times New Roman" w:cs="Times New Roman"/>
          <w:color w:val="000000" w:themeColor="text1"/>
          <w:sz w:val="24"/>
          <w:szCs w:val="24"/>
          <w:lang w:val="en"/>
        </w:rPr>
        <w:t>Având</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în</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vedere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acest</w:t>
      </w:r>
      <w:proofErr w:type="spellEnd"/>
      <w:r>
        <w:rPr>
          <w:rFonts w:ascii="Times New Roman" w:eastAsia="Calibri" w:hAnsi="Times New Roman" w:cs="Times New Roman"/>
          <w:color w:val="000000" w:themeColor="text1"/>
          <w:sz w:val="24"/>
          <w:szCs w:val="24"/>
          <w:lang w:val="en"/>
        </w:rPr>
        <w:t xml:space="preserve"> context, </w:t>
      </w:r>
      <w:proofErr w:type="spellStart"/>
      <w:r>
        <w:rPr>
          <w:rFonts w:ascii="Times New Roman" w:eastAsia="Calibri" w:hAnsi="Times New Roman" w:cs="Times New Roman"/>
          <w:color w:val="000000" w:themeColor="text1"/>
          <w:sz w:val="24"/>
          <w:szCs w:val="24"/>
          <w:lang w:val="en"/>
        </w:rPr>
        <w:t>voi</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analiza</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în</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articolul</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următor</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capacitatea</w:t>
      </w:r>
      <w:proofErr w:type="spellEnd"/>
      <w:r>
        <w:rPr>
          <w:rFonts w:ascii="Times New Roman" w:eastAsia="Calibri" w:hAnsi="Times New Roman" w:cs="Times New Roman"/>
          <w:color w:val="000000" w:themeColor="text1"/>
          <w:sz w:val="24"/>
          <w:szCs w:val="24"/>
          <w:lang w:val="en"/>
        </w:rPr>
        <w:t xml:space="preserve"> de </w:t>
      </w:r>
      <w:proofErr w:type="spellStart"/>
      <w:r>
        <w:rPr>
          <w:rFonts w:ascii="Times New Roman" w:eastAsia="Calibri" w:hAnsi="Times New Roman" w:cs="Times New Roman"/>
          <w:color w:val="000000" w:themeColor="text1"/>
          <w:sz w:val="24"/>
          <w:szCs w:val="24"/>
          <w:lang w:val="en"/>
        </w:rPr>
        <w:t>restructurare</w:t>
      </w:r>
      <w:proofErr w:type="spellEnd"/>
      <w:r>
        <w:rPr>
          <w:rFonts w:ascii="Times New Roman" w:eastAsia="Calibri" w:hAnsi="Times New Roman" w:cs="Times New Roman"/>
          <w:color w:val="000000" w:themeColor="text1"/>
          <w:sz w:val="24"/>
          <w:szCs w:val="24"/>
          <w:lang w:val="en"/>
        </w:rPr>
        <w:t xml:space="preserve"> a </w:t>
      </w:r>
      <w:proofErr w:type="spellStart"/>
      <w:r>
        <w:rPr>
          <w:rFonts w:ascii="Times New Roman" w:eastAsia="Calibri" w:hAnsi="Times New Roman" w:cs="Times New Roman"/>
          <w:color w:val="000000" w:themeColor="text1"/>
          <w:sz w:val="24"/>
          <w:szCs w:val="24"/>
          <w:lang w:val="en"/>
        </w:rPr>
        <w:t>companiilor</w:t>
      </w:r>
      <w:proofErr w:type="spellEnd"/>
      <w:r>
        <w:rPr>
          <w:rFonts w:ascii="Times New Roman" w:eastAsia="Calibri" w:hAnsi="Times New Roman" w:cs="Times New Roman"/>
          <w:color w:val="000000" w:themeColor="text1"/>
          <w:sz w:val="24"/>
          <w:szCs w:val="24"/>
          <w:lang w:val="en"/>
        </w:rPr>
        <w:t xml:space="preserve"> active </w:t>
      </w:r>
      <w:proofErr w:type="spellStart"/>
      <w:r>
        <w:rPr>
          <w:rFonts w:ascii="Times New Roman" w:eastAsia="Calibri" w:hAnsi="Times New Roman" w:cs="Times New Roman"/>
          <w:color w:val="000000" w:themeColor="text1"/>
          <w:sz w:val="24"/>
          <w:szCs w:val="24"/>
          <w:lang w:val="en"/>
        </w:rPr>
        <w:t>în</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România</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pe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durata</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următoarei</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recesiuni</w:t>
      </w:r>
      <w:proofErr w:type="spellEnd"/>
      <w:r w:rsidR="002363A4" w:rsidRPr="004B2202">
        <w:rPr>
          <w:rFonts w:ascii="Times New Roman" w:eastAsia="Calibri" w:hAnsi="Times New Roman" w:cs="Times New Roman"/>
          <w:color w:val="000000" w:themeColor="text1"/>
          <w:sz w:val="24"/>
          <w:szCs w:val="24"/>
          <w:lang w:val="en"/>
        </w:rPr>
        <w:t xml:space="preserve">! </w:t>
      </w:r>
      <w:r>
        <w:rPr>
          <w:rFonts w:ascii="Times New Roman" w:eastAsia="Calibri" w:hAnsi="Times New Roman" w:cs="Times New Roman"/>
          <w:color w:val="000000" w:themeColor="text1"/>
          <w:sz w:val="24"/>
          <w:szCs w:val="24"/>
          <w:lang w:val="en"/>
        </w:rPr>
        <w:t xml:space="preserve">Da, </w:t>
      </w:r>
      <w:proofErr w:type="spellStart"/>
      <w:r>
        <w:rPr>
          <w:rFonts w:ascii="Times New Roman" w:eastAsia="Calibri" w:hAnsi="Times New Roman" w:cs="Times New Roman"/>
          <w:color w:val="000000" w:themeColor="text1"/>
          <w:sz w:val="24"/>
          <w:szCs w:val="24"/>
          <w:lang w:val="en"/>
        </w:rPr>
        <w:t>aceast</w:t>
      </w:r>
      <w:r w:rsidR="004A7A2D">
        <w:rPr>
          <w:rFonts w:ascii="Times New Roman" w:eastAsia="Calibri" w:hAnsi="Times New Roman" w:cs="Times New Roman"/>
          <w:color w:val="000000" w:themeColor="text1"/>
          <w:sz w:val="24"/>
          <w:szCs w:val="24"/>
          <w:lang w:val="en"/>
        </w:rPr>
        <w:t>ă</w:t>
      </w:r>
      <w:proofErr w:type="spellEnd"/>
      <w:r w:rsidR="004A7A2D">
        <w:rPr>
          <w:rFonts w:ascii="Times New Roman" w:eastAsia="Calibri" w:hAnsi="Times New Roman" w:cs="Times New Roman"/>
          <w:color w:val="000000" w:themeColor="text1"/>
          <w:sz w:val="24"/>
          <w:szCs w:val="24"/>
          <w:lang w:val="en"/>
        </w:rPr>
        <w:t xml:space="preserve"> </w:t>
      </w:r>
      <w:proofErr w:type="spellStart"/>
      <w:r w:rsidR="004A7A2D">
        <w:rPr>
          <w:rFonts w:ascii="Times New Roman" w:eastAsia="Calibri" w:hAnsi="Times New Roman" w:cs="Times New Roman"/>
          <w:color w:val="000000" w:themeColor="text1"/>
          <w:sz w:val="24"/>
          <w:szCs w:val="24"/>
          <w:lang w:val="en"/>
        </w:rPr>
        <w:t>ajustare</w:t>
      </w:r>
      <w:proofErr w:type="spellEnd"/>
      <w:r w:rsidR="004A7A2D">
        <w:rPr>
          <w:rFonts w:ascii="Times New Roman" w:eastAsia="Calibri" w:hAnsi="Times New Roman" w:cs="Times New Roman"/>
          <w:color w:val="000000" w:themeColor="text1"/>
          <w:sz w:val="24"/>
          <w:szCs w:val="24"/>
          <w:lang w:val="en"/>
        </w:rPr>
        <w:t xml:space="preserve"> </w:t>
      </w:r>
      <w:proofErr w:type="spellStart"/>
      <w:r w:rsidR="004A7A2D">
        <w:rPr>
          <w:rFonts w:ascii="Times New Roman" w:eastAsia="Calibri" w:hAnsi="Times New Roman" w:cs="Times New Roman"/>
          <w:color w:val="000000" w:themeColor="text1"/>
          <w:sz w:val="24"/>
          <w:szCs w:val="24"/>
          <w:lang w:val="en"/>
        </w:rPr>
        <w:t>negativă</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va</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urma</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și</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fiecare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companie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își</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poate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calcula</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spațiul</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disponibil</w:t>
      </w:r>
      <w:proofErr w:type="spellEnd"/>
      <w:r>
        <w:rPr>
          <w:rFonts w:ascii="Times New Roman" w:eastAsia="Calibri" w:hAnsi="Times New Roman" w:cs="Times New Roman"/>
          <w:color w:val="000000" w:themeColor="text1"/>
          <w:sz w:val="24"/>
          <w:szCs w:val="24"/>
          <w:lang w:val="en"/>
        </w:rPr>
        <w:t xml:space="preserve"> de </w:t>
      </w:r>
      <w:proofErr w:type="spellStart"/>
      <w:r>
        <w:rPr>
          <w:rFonts w:ascii="Times New Roman" w:eastAsia="Calibri" w:hAnsi="Times New Roman" w:cs="Times New Roman"/>
          <w:color w:val="000000" w:themeColor="text1"/>
          <w:sz w:val="24"/>
          <w:szCs w:val="24"/>
          <w:lang w:val="en"/>
        </w:rPr>
        <w:t>restructurare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iar</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eu</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te</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voi</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învăța</w:t>
      </w:r>
      <w:proofErr w:type="spellEnd"/>
      <w:r>
        <w:rPr>
          <w:rFonts w:ascii="Times New Roman" w:eastAsia="Calibri" w:hAnsi="Times New Roman" w:cs="Times New Roman"/>
          <w:color w:val="000000" w:themeColor="text1"/>
          <w:sz w:val="24"/>
          <w:szCs w:val="24"/>
          <w:lang w:val="en"/>
        </w:rPr>
        <w:t xml:space="preserve"> cum </w:t>
      </w:r>
      <w:proofErr w:type="spellStart"/>
      <w:r>
        <w:rPr>
          <w:rFonts w:ascii="Times New Roman" w:eastAsia="Calibri" w:hAnsi="Times New Roman" w:cs="Times New Roman"/>
          <w:color w:val="000000" w:themeColor="text1"/>
          <w:sz w:val="24"/>
          <w:szCs w:val="24"/>
          <w:lang w:val="en"/>
        </w:rPr>
        <w:t>să</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faci</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acest</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lucru</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în</w:t>
      </w:r>
      <w:proofErr w:type="spellEnd"/>
      <w:r>
        <w:rPr>
          <w:rFonts w:ascii="Times New Roman" w:eastAsia="Calibri" w:hAnsi="Times New Roman" w:cs="Times New Roman"/>
          <w:color w:val="000000" w:themeColor="text1"/>
          <w:sz w:val="24"/>
          <w:szCs w:val="24"/>
          <w:lang w:val="en"/>
        </w:rPr>
        <w:t xml:space="preserve"> </w:t>
      </w:r>
      <w:proofErr w:type="spellStart"/>
      <w:r w:rsidR="004A7A2D">
        <w:rPr>
          <w:rFonts w:ascii="Times New Roman" w:eastAsia="Calibri" w:hAnsi="Times New Roman" w:cs="Times New Roman"/>
          <w:color w:val="000000" w:themeColor="text1"/>
          <w:sz w:val="24"/>
          <w:szCs w:val="24"/>
          <w:lang w:val="en"/>
        </w:rPr>
        <w:t>articolul</w:t>
      </w:r>
      <w:proofErr w:type="spellEnd"/>
      <w:r>
        <w:rPr>
          <w:rFonts w:ascii="Times New Roman" w:eastAsia="Calibri" w:hAnsi="Times New Roman" w:cs="Times New Roman"/>
          <w:color w:val="000000" w:themeColor="text1"/>
          <w:sz w:val="24"/>
          <w:szCs w:val="24"/>
          <w:lang w:val="en"/>
        </w:rPr>
        <w:t xml:space="preserve"> </w:t>
      </w:r>
      <w:proofErr w:type="spellStart"/>
      <w:r>
        <w:rPr>
          <w:rFonts w:ascii="Times New Roman" w:eastAsia="Calibri" w:hAnsi="Times New Roman" w:cs="Times New Roman"/>
          <w:color w:val="000000" w:themeColor="text1"/>
          <w:sz w:val="24"/>
          <w:szCs w:val="24"/>
          <w:lang w:val="en"/>
        </w:rPr>
        <w:t>următor</w:t>
      </w:r>
      <w:proofErr w:type="spellEnd"/>
      <w:r>
        <w:rPr>
          <w:rFonts w:ascii="Times New Roman" w:eastAsia="Calibri" w:hAnsi="Times New Roman" w:cs="Times New Roman"/>
          <w:color w:val="000000" w:themeColor="text1"/>
          <w:sz w:val="24"/>
          <w:szCs w:val="24"/>
          <w:lang w:val="en"/>
        </w:rPr>
        <w:t xml:space="preserve">. </w:t>
      </w:r>
      <w:proofErr w:type="spellStart"/>
      <w:r w:rsidR="002363A4" w:rsidRPr="004B2202">
        <w:rPr>
          <w:rFonts w:ascii="Times New Roman" w:eastAsia="Calibri" w:hAnsi="Times New Roman" w:cs="Times New Roman"/>
          <w:color w:val="000000" w:themeColor="text1"/>
          <w:sz w:val="24"/>
          <w:szCs w:val="24"/>
          <w:lang w:val="en"/>
        </w:rPr>
        <w:t>Până</w:t>
      </w:r>
      <w:proofErr w:type="spellEnd"/>
      <w:r w:rsidR="002363A4" w:rsidRPr="004B2202">
        <w:rPr>
          <w:rFonts w:ascii="Times New Roman" w:eastAsia="Calibri" w:hAnsi="Times New Roman" w:cs="Times New Roman"/>
          <w:color w:val="000000" w:themeColor="text1"/>
          <w:sz w:val="24"/>
          <w:szCs w:val="24"/>
          <w:lang w:val="en"/>
        </w:rPr>
        <w:t xml:space="preserve"> </w:t>
      </w:r>
      <w:proofErr w:type="spellStart"/>
      <w:r w:rsidR="002363A4" w:rsidRPr="004B2202">
        <w:rPr>
          <w:rFonts w:ascii="Times New Roman" w:eastAsia="Calibri" w:hAnsi="Times New Roman" w:cs="Times New Roman"/>
          <w:color w:val="000000" w:themeColor="text1"/>
          <w:sz w:val="24"/>
          <w:szCs w:val="24"/>
          <w:lang w:val="en"/>
        </w:rPr>
        <w:t>atunci</w:t>
      </w:r>
      <w:proofErr w:type="spellEnd"/>
      <w:r w:rsidR="002363A4" w:rsidRPr="004B2202">
        <w:rPr>
          <w:rFonts w:ascii="Times New Roman" w:eastAsia="Calibri" w:hAnsi="Times New Roman" w:cs="Times New Roman"/>
          <w:color w:val="000000" w:themeColor="text1"/>
          <w:sz w:val="24"/>
          <w:szCs w:val="24"/>
          <w:lang w:val="en"/>
        </w:rPr>
        <w:t xml:space="preserve">, nu </w:t>
      </w:r>
      <w:proofErr w:type="spellStart"/>
      <w:r w:rsidR="002363A4" w:rsidRPr="004B2202">
        <w:rPr>
          <w:rFonts w:ascii="Times New Roman" w:eastAsia="Calibri" w:hAnsi="Times New Roman" w:cs="Times New Roman"/>
          <w:color w:val="000000" w:themeColor="text1"/>
          <w:sz w:val="24"/>
          <w:szCs w:val="24"/>
          <w:lang w:val="en"/>
        </w:rPr>
        <w:t>uita</w:t>
      </w:r>
      <w:proofErr w:type="spellEnd"/>
      <w:r w:rsidR="002363A4" w:rsidRPr="004B2202">
        <w:rPr>
          <w:rFonts w:ascii="Times New Roman" w:eastAsia="Calibri" w:hAnsi="Times New Roman" w:cs="Times New Roman"/>
          <w:color w:val="000000" w:themeColor="text1"/>
          <w:sz w:val="24"/>
          <w:szCs w:val="24"/>
          <w:lang w:val="en"/>
        </w:rPr>
        <w:t xml:space="preserve">: </w:t>
      </w:r>
      <w:r w:rsidR="00BA401B" w:rsidRPr="00973DD2">
        <w:rPr>
          <w:rFonts w:ascii="Times New Roman" w:hAnsi="Times New Roman" w:cs="Times New Roman"/>
          <w:i/>
          <w:sz w:val="24"/>
          <w:szCs w:val="24"/>
          <w:lang w:val="en-US"/>
        </w:rPr>
        <w:t xml:space="preserve">nu </w:t>
      </w:r>
      <w:proofErr w:type="spellStart"/>
      <w:r w:rsidR="00BA401B">
        <w:rPr>
          <w:rFonts w:ascii="Times New Roman" w:hAnsi="Times New Roman" w:cs="Times New Roman"/>
          <w:i/>
          <w:sz w:val="24"/>
          <w:szCs w:val="24"/>
          <w:lang w:val="en-US"/>
        </w:rPr>
        <w:t>te</w:t>
      </w:r>
      <w:proofErr w:type="spellEnd"/>
      <w:r w:rsidR="00BA401B">
        <w:rPr>
          <w:rFonts w:ascii="Times New Roman" w:hAnsi="Times New Roman" w:cs="Times New Roman"/>
          <w:i/>
          <w:sz w:val="24"/>
          <w:szCs w:val="24"/>
          <w:lang w:val="en-US"/>
        </w:rPr>
        <w:t xml:space="preserve"> </w:t>
      </w:r>
      <w:proofErr w:type="spellStart"/>
      <w:r w:rsidR="00BA401B">
        <w:rPr>
          <w:rFonts w:ascii="Times New Roman" w:hAnsi="Times New Roman" w:cs="Times New Roman"/>
          <w:i/>
          <w:sz w:val="24"/>
          <w:szCs w:val="24"/>
          <w:lang w:val="en-US"/>
        </w:rPr>
        <w:t>descuraja</w:t>
      </w:r>
      <w:proofErr w:type="spellEnd"/>
      <w:r w:rsidR="00BA401B" w:rsidRPr="00973DD2">
        <w:rPr>
          <w:rFonts w:ascii="Times New Roman" w:hAnsi="Times New Roman" w:cs="Times New Roman"/>
          <w:i/>
          <w:sz w:val="24"/>
          <w:szCs w:val="24"/>
          <w:lang w:val="en-US"/>
        </w:rPr>
        <w:t xml:space="preserve"> </w:t>
      </w:r>
      <w:r w:rsidR="004A7A2D">
        <w:rPr>
          <w:rFonts w:ascii="Times New Roman" w:hAnsi="Times New Roman" w:cs="Times New Roman"/>
          <w:i/>
          <w:sz w:val="24"/>
          <w:szCs w:val="24"/>
          <w:lang w:val="en-US"/>
        </w:rPr>
        <w:t xml:space="preserve">din </w:t>
      </w:r>
      <w:proofErr w:type="spellStart"/>
      <w:r w:rsidR="004A7A2D">
        <w:rPr>
          <w:rFonts w:ascii="Times New Roman" w:hAnsi="Times New Roman" w:cs="Times New Roman"/>
          <w:i/>
          <w:sz w:val="24"/>
          <w:szCs w:val="24"/>
          <w:lang w:val="en-US"/>
        </w:rPr>
        <w:t>cauza</w:t>
      </w:r>
      <w:proofErr w:type="spellEnd"/>
      <w:r w:rsidR="004A7A2D">
        <w:rPr>
          <w:rFonts w:ascii="Times New Roman" w:hAnsi="Times New Roman" w:cs="Times New Roman"/>
          <w:i/>
          <w:sz w:val="24"/>
          <w:szCs w:val="24"/>
          <w:lang w:val="en-US"/>
        </w:rPr>
        <w:t xml:space="preserve"> </w:t>
      </w:r>
      <w:proofErr w:type="spellStart"/>
      <w:r w:rsidR="004A7A2D">
        <w:rPr>
          <w:rFonts w:ascii="Times New Roman" w:hAnsi="Times New Roman" w:cs="Times New Roman"/>
          <w:i/>
          <w:sz w:val="24"/>
          <w:szCs w:val="24"/>
          <w:lang w:val="en-US"/>
        </w:rPr>
        <w:t>creșterii</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dobânzilor</w:t>
      </w:r>
      <w:proofErr w:type="spellEnd"/>
      <w:r w:rsidR="00BA401B" w:rsidRPr="00973DD2">
        <w:rPr>
          <w:rFonts w:ascii="Times New Roman" w:hAnsi="Times New Roman" w:cs="Times New Roman"/>
          <w:i/>
          <w:sz w:val="24"/>
          <w:szCs w:val="24"/>
          <w:lang w:val="en-US"/>
        </w:rPr>
        <w:t xml:space="preserve">, </w:t>
      </w:r>
      <w:proofErr w:type="spellStart"/>
      <w:r w:rsidR="00BA401B">
        <w:rPr>
          <w:rFonts w:ascii="Times New Roman" w:hAnsi="Times New Roman" w:cs="Times New Roman"/>
          <w:i/>
          <w:sz w:val="24"/>
          <w:szCs w:val="24"/>
          <w:lang w:val="en-US"/>
        </w:rPr>
        <w:t>concentrează-te</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asupra</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valorii</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adăugate</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pe</w:t>
      </w:r>
      <w:proofErr w:type="spellEnd"/>
      <w:r w:rsidR="00BA401B" w:rsidRPr="00973DD2">
        <w:rPr>
          <w:rFonts w:ascii="Times New Roman" w:hAnsi="Times New Roman" w:cs="Times New Roman"/>
          <w:i/>
          <w:sz w:val="24"/>
          <w:szCs w:val="24"/>
          <w:lang w:val="en-US"/>
        </w:rPr>
        <w:t xml:space="preserve"> care </w:t>
      </w:r>
      <w:proofErr w:type="spellStart"/>
      <w:r w:rsidR="00BA401B" w:rsidRPr="00973DD2">
        <w:rPr>
          <w:rFonts w:ascii="Times New Roman" w:hAnsi="Times New Roman" w:cs="Times New Roman"/>
          <w:i/>
          <w:sz w:val="24"/>
          <w:szCs w:val="24"/>
          <w:lang w:val="en-US"/>
        </w:rPr>
        <w:t>compania</w:t>
      </w:r>
      <w:proofErr w:type="spellEnd"/>
      <w:r w:rsidR="00BA401B" w:rsidRPr="00973DD2">
        <w:rPr>
          <w:rFonts w:ascii="Times New Roman" w:hAnsi="Times New Roman" w:cs="Times New Roman"/>
          <w:i/>
          <w:sz w:val="24"/>
          <w:szCs w:val="24"/>
          <w:lang w:val="en-US"/>
        </w:rPr>
        <w:t xml:space="preserve"> </w:t>
      </w:r>
      <w:r w:rsidR="004A7A2D">
        <w:rPr>
          <w:rFonts w:ascii="Times New Roman" w:hAnsi="Times New Roman" w:cs="Times New Roman"/>
          <w:i/>
          <w:sz w:val="24"/>
          <w:szCs w:val="24"/>
          <w:lang w:val="en-US"/>
        </w:rPr>
        <w:t xml:space="preserve">ta </w:t>
      </w:r>
      <w:r w:rsidR="00BA401B" w:rsidRPr="00973DD2">
        <w:rPr>
          <w:rFonts w:ascii="Times New Roman" w:hAnsi="Times New Roman" w:cs="Times New Roman"/>
          <w:i/>
          <w:sz w:val="24"/>
          <w:szCs w:val="24"/>
          <w:lang w:val="en-US"/>
        </w:rPr>
        <w:t xml:space="preserve">o </w:t>
      </w:r>
      <w:proofErr w:type="spellStart"/>
      <w:r w:rsidR="00BA401B" w:rsidRPr="00973DD2">
        <w:rPr>
          <w:rFonts w:ascii="Times New Roman" w:hAnsi="Times New Roman" w:cs="Times New Roman"/>
          <w:i/>
          <w:sz w:val="24"/>
          <w:szCs w:val="24"/>
          <w:lang w:val="en-US"/>
        </w:rPr>
        <w:t>poate</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aduce</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partenerilor</w:t>
      </w:r>
      <w:proofErr w:type="spellEnd"/>
      <w:r w:rsidR="00BA401B" w:rsidRPr="00973DD2">
        <w:rPr>
          <w:rFonts w:ascii="Times New Roman" w:hAnsi="Times New Roman" w:cs="Times New Roman"/>
          <w:i/>
          <w:sz w:val="24"/>
          <w:szCs w:val="24"/>
          <w:lang w:val="en-US"/>
        </w:rPr>
        <w:t xml:space="preserve"> de </w:t>
      </w:r>
      <w:proofErr w:type="spellStart"/>
      <w:r w:rsidR="00BA401B" w:rsidRPr="00973DD2">
        <w:rPr>
          <w:rFonts w:ascii="Times New Roman" w:hAnsi="Times New Roman" w:cs="Times New Roman"/>
          <w:i/>
          <w:sz w:val="24"/>
          <w:szCs w:val="24"/>
          <w:lang w:val="en-US"/>
        </w:rPr>
        <w:t>afaceri</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Pe</w:t>
      </w:r>
      <w:proofErr w:type="spellEnd"/>
      <w:r w:rsidR="00BA401B" w:rsidRPr="00973DD2">
        <w:rPr>
          <w:rFonts w:ascii="Times New Roman" w:hAnsi="Times New Roman" w:cs="Times New Roman"/>
          <w:i/>
          <w:sz w:val="24"/>
          <w:szCs w:val="24"/>
          <w:lang w:val="en-US"/>
        </w:rPr>
        <w:t xml:space="preserve"> </w:t>
      </w:r>
      <w:proofErr w:type="spellStart"/>
      <w:r w:rsidR="00BA401B" w:rsidRPr="00973DD2">
        <w:rPr>
          <w:rFonts w:ascii="Times New Roman" w:hAnsi="Times New Roman" w:cs="Times New Roman"/>
          <w:i/>
          <w:sz w:val="24"/>
          <w:szCs w:val="24"/>
          <w:lang w:val="en-US"/>
        </w:rPr>
        <w:t>curând</w:t>
      </w:r>
      <w:proofErr w:type="spellEnd"/>
      <w:r w:rsidR="00BA401B" w:rsidRPr="00973DD2">
        <w:rPr>
          <w:rFonts w:ascii="Times New Roman" w:hAnsi="Times New Roman" w:cs="Times New Roman"/>
          <w:i/>
          <w:sz w:val="24"/>
          <w:szCs w:val="24"/>
          <w:lang w:val="en-US"/>
        </w:rPr>
        <w:t>!</w:t>
      </w:r>
    </w:p>
    <w:p w:rsidR="00163B17" w:rsidRPr="00163B17" w:rsidRDefault="00163B17" w:rsidP="00163B17">
      <w:pPr>
        <w:shd w:val="clear" w:color="auto" w:fill="FFFFFF"/>
        <w:rPr>
          <w:rFonts w:ascii="Arial" w:eastAsia="Times New Roman" w:hAnsi="Arial" w:cs="Arial"/>
          <w:color w:val="222222"/>
          <w:sz w:val="19"/>
          <w:szCs w:val="19"/>
          <w:lang w:val="en-US"/>
        </w:rPr>
      </w:pPr>
      <w:r>
        <w:rPr>
          <w:rFonts w:ascii="Times New Roman" w:eastAsia="Calibri" w:hAnsi="Times New Roman" w:cs="Times New Roman"/>
          <w:i/>
          <w:color w:val="000000" w:themeColor="text1"/>
          <w:sz w:val="24"/>
          <w:szCs w:val="24"/>
          <w:lang w:val="en"/>
        </w:rPr>
        <w:t>*</w:t>
      </w:r>
      <w:proofErr w:type="spellStart"/>
      <w:r w:rsidRPr="00163B17">
        <w:rPr>
          <w:rFonts w:ascii="Times New Roman" w:eastAsia="Calibri" w:hAnsi="Times New Roman" w:cs="Times New Roman"/>
          <w:i/>
          <w:color w:val="000000" w:themeColor="text1"/>
          <w:sz w:val="24"/>
          <w:szCs w:val="24"/>
          <w:lang w:val="en"/>
        </w:rPr>
        <w:t>Articolul</w:t>
      </w:r>
      <w:proofErr w:type="spellEnd"/>
      <w:r w:rsidRPr="00163B17">
        <w:rPr>
          <w:rFonts w:ascii="Times New Roman" w:eastAsia="Calibri" w:hAnsi="Times New Roman" w:cs="Times New Roman"/>
          <w:i/>
          <w:color w:val="000000" w:themeColor="text1"/>
          <w:sz w:val="24"/>
          <w:szCs w:val="24"/>
          <w:lang w:val="en"/>
        </w:rPr>
        <w:t xml:space="preserve"> anterior </w:t>
      </w:r>
      <w:proofErr w:type="spellStart"/>
      <w:r w:rsidRPr="00163B17">
        <w:rPr>
          <w:rFonts w:ascii="Times New Roman" w:eastAsia="Calibri" w:hAnsi="Times New Roman" w:cs="Times New Roman"/>
          <w:i/>
          <w:color w:val="000000" w:themeColor="text1"/>
          <w:sz w:val="24"/>
          <w:szCs w:val="24"/>
          <w:lang w:val="en"/>
        </w:rPr>
        <w:t>apar</w:t>
      </w:r>
      <w:proofErr w:type="spellEnd"/>
      <w:r w:rsidRPr="00163B17">
        <w:rPr>
          <w:rFonts w:ascii="Times New Roman" w:eastAsia="Calibri" w:hAnsi="Times New Roman" w:cs="Times New Roman"/>
          <w:i/>
          <w:color w:val="000000" w:themeColor="text1"/>
          <w:sz w:val="24"/>
          <w:szCs w:val="24"/>
        </w:rPr>
        <w:t xml:space="preserve">ține </w:t>
      </w:r>
      <w:proofErr w:type="spellStart"/>
      <w:r w:rsidRPr="00163B17">
        <w:rPr>
          <w:rFonts w:ascii="Arial" w:eastAsia="Times New Roman" w:hAnsi="Arial" w:cs="Arial"/>
          <w:b/>
          <w:bCs/>
          <w:i/>
          <w:color w:val="222222"/>
          <w:sz w:val="19"/>
          <w:szCs w:val="19"/>
          <w:lang w:val="en-US"/>
        </w:rPr>
        <w:t>Presedinte</w:t>
      </w:r>
      <w:r>
        <w:rPr>
          <w:rFonts w:ascii="Arial" w:eastAsia="Times New Roman" w:hAnsi="Arial" w:cs="Arial"/>
          <w:b/>
          <w:bCs/>
          <w:i/>
          <w:color w:val="222222"/>
          <w:sz w:val="19"/>
          <w:szCs w:val="19"/>
          <w:lang w:val="en-US"/>
        </w:rPr>
        <w:t>lui</w:t>
      </w:r>
      <w:proofErr w:type="spellEnd"/>
      <w:r w:rsidRPr="00163B17">
        <w:rPr>
          <w:rFonts w:ascii="Arial" w:eastAsia="Times New Roman" w:hAnsi="Arial" w:cs="Arial"/>
          <w:b/>
          <w:bCs/>
          <w:i/>
          <w:color w:val="222222"/>
          <w:sz w:val="19"/>
          <w:szCs w:val="19"/>
          <w:lang w:val="en-US"/>
        </w:rPr>
        <w:t xml:space="preserve"> AAFBR (</w:t>
      </w:r>
      <w:proofErr w:type="spellStart"/>
      <w:r w:rsidRPr="00163B17">
        <w:rPr>
          <w:rFonts w:ascii="Arial" w:eastAsia="Times New Roman" w:hAnsi="Arial" w:cs="Arial"/>
          <w:b/>
          <w:bCs/>
          <w:i/>
          <w:color w:val="222222"/>
          <w:sz w:val="19"/>
          <w:szCs w:val="19"/>
          <w:lang w:val="en-US"/>
        </w:rPr>
        <w:t>Asociatia</w:t>
      </w:r>
      <w:proofErr w:type="spellEnd"/>
      <w:r w:rsidRPr="00163B17">
        <w:rPr>
          <w:rFonts w:ascii="Arial" w:eastAsia="Times New Roman" w:hAnsi="Arial" w:cs="Arial"/>
          <w:b/>
          <w:bCs/>
          <w:i/>
          <w:color w:val="222222"/>
          <w:sz w:val="19"/>
          <w:szCs w:val="19"/>
          <w:lang w:val="en-US"/>
        </w:rPr>
        <w:t xml:space="preserve"> </w:t>
      </w:r>
      <w:proofErr w:type="spellStart"/>
      <w:r w:rsidRPr="00163B17">
        <w:rPr>
          <w:rFonts w:ascii="Arial" w:eastAsia="Times New Roman" w:hAnsi="Arial" w:cs="Arial"/>
          <w:b/>
          <w:bCs/>
          <w:i/>
          <w:color w:val="222222"/>
          <w:sz w:val="19"/>
          <w:szCs w:val="19"/>
          <w:lang w:val="en-US"/>
        </w:rPr>
        <w:t>Analistilor</w:t>
      </w:r>
      <w:proofErr w:type="spellEnd"/>
      <w:r w:rsidRPr="00163B17">
        <w:rPr>
          <w:rFonts w:ascii="Arial" w:eastAsia="Times New Roman" w:hAnsi="Arial" w:cs="Arial"/>
          <w:b/>
          <w:bCs/>
          <w:i/>
          <w:color w:val="222222"/>
          <w:sz w:val="19"/>
          <w:szCs w:val="19"/>
          <w:lang w:val="en-US"/>
        </w:rPr>
        <w:t xml:space="preserve"> </w:t>
      </w:r>
      <w:proofErr w:type="spellStart"/>
      <w:r w:rsidRPr="00163B17">
        <w:rPr>
          <w:rFonts w:ascii="Arial" w:eastAsia="Times New Roman" w:hAnsi="Arial" w:cs="Arial"/>
          <w:b/>
          <w:bCs/>
          <w:i/>
          <w:color w:val="222222"/>
          <w:sz w:val="19"/>
          <w:szCs w:val="19"/>
          <w:lang w:val="en-US"/>
        </w:rPr>
        <w:t>Financiar-Bancari</w:t>
      </w:r>
      <w:proofErr w:type="spellEnd"/>
      <w:r w:rsidRPr="00163B17">
        <w:rPr>
          <w:rFonts w:ascii="Arial" w:eastAsia="Times New Roman" w:hAnsi="Arial" w:cs="Arial"/>
          <w:b/>
          <w:bCs/>
          <w:i/>
          <w:color w:val="222222"/>
          <w:sz w:val="19"/>
          <w:szCs w:val="19"/>
          <w:lang w:val="en-US"/>
        </w:rPr>
        <w:t xml:space="preserve"> din Romania</w:t>
      </w:r>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Iancu</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Guda</w:t>
      </w:r>
      <w:proofErr w:type="spellEnd"/>
      <w:r>
        <w:rPr>
          <w:rFonts w:ascii="Arial" w:eastAsia="Times New Roman" w:hAnsi="Arial" w:cs="Arial"/>
          <w:b/>
          <w:bCs/>
          <w:i/>
          <w:color w:val="222222"/>
          <w:sz w:val="19"/>
          <w:szCs w:val="19"/>
          <w:lang w:val="en-US"/>
        </w:rPr>
        <w:t xml:space="preserve">. De </w:t>
      </w:r>
      <w:proofErr w:type="spellStart"/>
      <w:r>
        <w:rPr>
          <w:rFonts w:ascii="Arial" w:eastAsia="Times New Roman" w:hAnsi="Arial" w:cs="Arial"/>
          <w:b/>
          <w:bCs/>
          <w:i/>
          <w:color w:val="222222"/>
          <w:sz w:val="19"/>
          <w:szCs w:val="19"/>
          <w:lang w:val="en-US"/>
        </w:rPr>
        <w:t>asemenea</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textul</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redă</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opinia</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autorului</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și</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este</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preluat</w:t>
      </w:r>
      <w:proofErr w:type="spellEnd"/>
      <w:r>
        <w:rPr>
          <w:rFonts w:ascii="Arial" w:eastAsia="Times New Roman" w:hAnsi="Arial" w:cs="Arial"/>
          <w:b/>
          <w:bCs/>
          <w:i/>
          <w:color w:val="222222"/>
          <w:sz w:val="19"/>
          <w:szCs w:val="19"/>
          <w:lang w:val="en-US"/>
        </w:rPr>
        <w:t xml:space="preserve"> de </w:t>
      </w:r>
      <w:proofErr w:type="spellStart"/>
      <w:r>
        <w:rPr>
          <w:rFonts w:ascii="Arial" w:eastAsia="Times New Roman" w:hAnsi="Arial" w:cs="Arial"/>
          <w:b/>
          <w:bCs/>
          <w:i/>
          <w:color w:val="222222"/>
          <w:sz w:val="19"/>
          <w:szCs w:val="19"/>
          <w:lang w:val="en-US"/>
        </w:rPr>
        <w:t>pe</w:t>
      </w:r>
      <w:proofErr w:type="spellEnd"/>
      <w:r>
        <w:rPr>
          <w:rFonts w:ascii="Arial" w:eastAsia="Times New Roman" w:hAnsi="Arial" w:cs="Arial"/>
          <w:b/>
          <w:bCs/>
          <w:i/>
          <w:color w:val="222222"/>
          <w:sz w:val="19"/>
          <w:szCs w:val="19"/>
          <w:lang w:val="en-US"/>
        </w:rPr>
        <w:t xml:space="preserve"> </w:t>
      </w:r>
      <w:proofErr w:type="spellStart"/>
      <w:r>
        <w:rPr>
          <w:rFonts w:ascii="Arial" w:eastAsia="Times New Roman" w:hAnsi="Arial" w:cs="Arial"/>
          <w:b/>
          <w:bCs/>
          <w:i/>
          <w:color w:val="222222"/>
          <w:sz w:val="19"/>
          <w:szCs w:val="19"/>
          <w:lang w:val="en-US"/>
        </w:rPr>
        <w:t>blogul</w:t>
      </w:r>
      <w:proofErr w:type="spellEnd"/>
      <w:r>
        <w:rPr>
          <w:rFonts w:ascii="Arial" w:eastAsia="Times New Roman" w:hAnsi="Arial" w:cs="Arial"/>
          <w:b/>
          <w:bCs/>
          <w:i/>
          <w:color w:val="222222"/>
          <w:sz w:val="19"/>
          <w:szCs w:val="19"/>
          <w:lang w:val="en-US"/>
        </w:rPr>
        <w:t xml:space="preserve"> </w:t>
      </w:r>
      <w:proofErr w:type="spellStart"/>
      <w:r w:rsidRPr="00163B17">
        <w:rPr>
          <w:rFonts w:ascii="Arial" w:eastAsia="Times New Roman" w:hAnsi="Arial" w:cs="Arial"/>
          <w:color w:val="FF0000"/>
          <w:sz w:val="19"/>
          <w:szCs w:val="19"/>
          <w:lang w:val="en-US"/>
        </w:rPr>
        <w:t>Mit</w:t>
      </w:r>
      <w:proofErr w:type="spellEnd"/>
      <w:r w:rsidRPr="00163B17">
        <w:rPr>
          <w:rFonts w:ascii="Arial" w:eastAsia="Times New Roman" w:hAnsi="Arial" w:cs="Arial"/>
          <w:color w:val="FF0000"/>
          <w:sz w:val="19"/>
          <w:szCs w:val="19"/>
          <w:lang w:val="en-US"/>
        </w:rPr>
        <w:t xml:space="preserve"> - </w:t>
      </w:r>
      <w:proofErr w:type="spellStart"/>
      <w:r w:rsidRPr="00163B17">
        <w:rPr>
          <w:rFonts w:ascii="Arial" w:eastAsia="Times New Roman" w:hAnsi="Arial" w:cs="Arial"/>
          <w:color w:val="FF0000"/>
          <w:sz w:val="19"/>
          <w:szCs w:val="19"/>
          <w:lang w:val="en-US"/>
        </w:rPr>
        <w:t>avem</w:t>
      </w:r>
      <w:proofErr w:type="spellEnd"/>
      <w:r w:rsidRPr="00163B17">
        <w:rPr>
          <w:rFonts w:ascii="Arial" w:eastAsia="Times New Roman" w:hAnsi="Arial" w:cs="Arial"/>
          <w:color w:val="FF0000"/>
          <w:sz w:val="19"/>
          <w:szCs w:val="19"/>
          <w:lang w:val="en-US"/>
        </w:rPr>
        <w:t xml:space="preserve"> </w:t>
      </w:r>
      <w:proofErr w:type="spellStart"/>
      <w:r w:rsidRPr="00163B17">
        <w:rPr>
          <w:rFonts w:ascii="Arial" w:eastAsia="Times New Roman" w:hAnsi="Arial" w:cs="Arial"/>
          <w:color w:val="FF0000"/>
          <w:sz w:val="19"/>
          <w:szCs w:val="19"/>
          <w:lang w:val="en-US"/>
        </w:rPr>
        <w:t>nevoie</w:t>
      </w:r>
      <w:proofErr w:type="spellEnd"/>
      <w:r w:rsidRPr="00163B17">
        <w:rPr>
          <w:rFonts w:ascii="Arial" w:eastAsia="Times New Roman" w:hAnsi="Arial" w:cs="Arial"/>
          <w:color w:val="FF0000"/>
          <w:sz w:val="19"/>
          <w:szCs w:val="19"/>
          <w:lang w:val="en-US"/>
        </w:rPr>
        <w:t xml:space="preserve"> de </w:t>
      </w:r>
      <w:proofErr w:type="spellStart"/>
      <w:r w:rsidRPr="00163B17">
        <w:rPr>
          <w:rFonts w:ascii="Arial" w:eastAsia="Times New Roman" w:hAnsi="Arial" w:cs="Arial"/>
          <w:color w:val="FF0000"/>
          <w:sz w:val="19"/>
          <w:szCs w:val="19"/>
          <w:lang w:val="en-US"/>
        </w:rPr>
        <w:t>bani</w:t>
      </w:r>
      <w:proofErr w:type="spellEnd"/>
      <w:r w:rsidRPr="00163B17">
        <w:rPr>
          <w:rFonts w:ascii="Arial" w:eastAsia="Times New Roman" w:hAnsi="Arial" w:cs="Arial"/>
          <w:color w:val="FF0000"/>
          <w:sz w:val="19"/>
          <w:szCs w:val="19"/>
          <w:lang w:val="en-US"/>
        </w:rPr>
        <w:t xml:space="preserve"> </w:t>
      </w:r>
      <w:proofErr w:type="spellStart"/>
      <w:r w:rsidRPr="00163B17">
        <w:rPr>
          <w:rFonts w:ascii="Arial" w:eastAsia="Times New Roman" w:hAnsi="Arial" w:cs="Arial"/>
          <w:color w:val="FF0000"/>
          <w:sz w:val="19"/>
          <w:szCs w:val="19"/>
          <w:lang w:val="en-US"/>
        </w:rPr>
        <w:t>ieftini</w:t>
      </w:r>
      <w:proofErr w:type="spellEnd"/>
      <w:r w:rsidRPr="00163B17">
        <w:rPr>
          <w:rFonts w:ascii="Arial" w:eastAsia="Times New Roman" w:hAnsi="Arial" w:cs="Arial"/>
          <w:color w:val="FF0000"/>
          <w:sz w:val="19"/>
          <w:szCs w:val="19"/>
          <w:lang w:val="en-US"/>
        </w:rPr>
        <w:t xml:space="preserve"> </w:t>
      </w:r>
      <w:proofErr w:type="spellStart"/>
      <w:r w:rsidRPr="00163B17">
        <w:rPr>
          <w:rFonts w:ascii="Arial" w:eastAsia="Times New Roman" w:hAnsi="Arial" w:cs="Arial"/>
          <w:color w:val="FF0000"/>
          <w:sz w:val="19"/>
          <w:szCs w:val="19"/>
          <w:lang w:val="en-US"/>
        </w:rPr>
        <w:t>pentru</w:t>
      </w:r>
      <w:proofErr w:type="spellEnd"/>
      <w:r w:rsidRPr="00163B17">
        <w:rPr>
          <w:rFonts w:ascii="Arial" w:eastAsia="Times New Roman" w:hAnsi="Arial" w:cs="Arial"/>
          <w:color w:val="FF0000"/>
          <w:sz w:val="19"/>
          <w:szCs w:val="19"/>
          <w:lang w:val="en-US"/>
        </w:rPr>
        <w:t xml:space="preserve"> </w:t>
      </w:r>
      <w:proofErr w:type="spellStart"/>
      <w:r w:rsidRPr="00163B17">
        <w:rPr>
          <w:rFonts w:ascii="Arial" w:eastAsia="Times New Roman" w:hAnsi="Arial" w:cs="Arial"/>
          <w:color w:val="FF0000"/>
          <w:sz w:val="19"/>
          <w:szCs w:val="19"/>
          <w:lang w:val="en-US"/>
        </w:rPr>
        <w:t>investiții</w:t>
      </w:r>
      <w:proofErr w:type="spellEnd"/>
      <w:r w:rsidRPr="00163B17">
        <w:rPr>
          <w:rFonts w:ascii="Arial" w:eastAsia="Times New Roman" w:hAnsi="Arial" w:cs="Arial"/>
          <w:color w:val="FF0000"/>
          <w:sz w:val="19"/>
          <w:szCs w:val="19"/>
          <w:lang w:val="en-US"/>
        </w:rPr>
        <w:t xml:space="preserve"> </w:t>
      </w:r>
      <w:proofErr w:type="spellStart"/>
      <w:r w:rsidRPr="00163B17">
        <w:rPr>
          <w:rFonts w:ascii="Arial" w:eastAsia="Times New Roman" w:hAnsi="Arial" w:cs="Arial"/>
          <w:color w:val="FF0000"/>
          <w:sz w:val="19"/>
          <w:szCs w:val="19"/>
          <w:lang w:val="en-US"/>
        </w:rPr>
        <w:t>eficiente</w:t>
      </w:r>
      <w:proofErr w:type="spellEnd"/>
      <w:r w:rsidRPr="00163B17">
        <w:rPr>
          <w:rFonts w:ascii="Arial" w:eastAsia="Times New Roman" w:hAnsi="Arial" w:cs="Arial"/>
          <w:color w:val="FF0000"/>
          <w:sz w:val="19"/>
          <w:szCs w:val="19"/>
          <w:lang w:val="en-US"/>
        </w:rPr>
        <w:t>?</w:t>
      </w:r>
    </w:p>
    <w:p w:rsidR="00163B17" w:rsidRPr="00163B17" w:rsidRDefault="00163B17" w:rsidP="00163B17">
      <w:pPr>
        <w:shd w:val="clear" w:color="auto" w:fill="FFFFFF"/>
        <w:rPr>
          <w:rFonts w:ascii="Arial" w:eastAsia="Times New Roman" w:hAnsi="Arial" w:cs="Arial"/>
          <w:i/>
          <w:color w:val="222222"/>
          <w:sz w:val="19"/>
          <w:szCs w:val="19"/>
          <w:lang w:val="en-US"/>
        </w:rPr>
      </w:pPr>
      <w:bookmarkStart w:id="0" w:name="_GoBack"/>
      <w:bookmarkEnd w:id="0"/>
    </w:p>
    <w:p w:rsidR="002363A4" w:rsidRPr="004B2202" w:rsidRDefault="00163B17" w:rsidP="002363A4">
      <w:pPr>
        <w:jc w:val="both"/>
        <w:rPr>
          <w:rFonts w:ascii="Times New Roman" w:eastAsia="Calibri" w:hAnsi="Times New Roman" w:cs="Times New Roman"/>
          <w:i/>
          <w:color w:val="000000" w:themeColor="text1"/>
          <w:sz w:val="24"/>
          <w:szCs w:val="24"/>
          <w:lang w:val="en"/>
        </w:rPr>
      </w:pPr>
      <w:r>
        <w:rPr>
          <w:rFonts w:ascii="Times New Roman" w:eastAsia="Calibri" w:hAnsi="Times New Roman" w:cs="Times New Roman"/>
          <w:i/>
          <w:color w:val="000000" w:themeColor="text1"/>
          <w:sz w:val="24"/>
          <w:szCs w:val="24"/>
          <w:lang w:val="en"/>
        </w:rPr>
        <w:t xml:space="preserve"> </w:t>
      </w:r>
    </w:p>
    <w:sectPr w:rsidR="002363A4" w:rsidRPr="004B2202" w:rsidSect="00360DAE">
      <w:pgSz w:w="11906" w:h="16838"/>
      <w:pgMar w:top="567"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0228"/>
    <w:multiLevelType w:val="hybridMultilevel"/>
    <w:tmpl w:val="5EC660FE"/>
    <w:lvl w:ilvl="0" w:tplc="0418000F">
      <w:start w:val="1"/>
      <w:numFmt w:val="decimal"/>
      <w:lvlText w:val="%1."/>
      <w:lvlJc w:val="left"/>
      <w:pPr>
        <w:ind w:left="720" w:hanging="360"/>
      </w:pPr>
      <w:rPr>
        <w:rFonts w:hint="default"/>
      </w:rPr>
    </w:lvl>
    <w:lvl w:ilvl="1" w:tplc="DD185A62">
      <w:numFmt w:val="bullet"/>
      <w:lvlText w:val="-"/>
      <w:lvlJc w:val="left"/>
      <w:pPr>
        <w:ind w:left="1440" w:hanging="360"/>
      </w:pPr>
      <w:rPr>
        <w:rFonts w:ascii="Times New Roman" w:eastAsia="Calibr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8667AF"/>
    <w:multiLevelType w:val="hybridMultilevel"/>
    <w:tmpl w:val="D2F82D70"/>
    <w:lvl w:ilvl="0" w:tplc="81646D92">
      <w:numFmt w:val="bullet"/>
      <w:lvlText w:val="-"/>
      <w:lvlJc w:val="left"/>
      <w:pPr>
        <w:ind w:left="1128" w:hanging="768"/>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61227A3"/>
    <w:multiLevelType w:val="hybridMultilevel"/>
    <w:tmpl w:val="884AE3D8"/>
    <w:lvl w:ilvl="0" w:tplc="8C3E937C">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00A2A7E"/>
    <w:multiLevelType w:val="hybridMultilevel"/>
    <w:tmpl w:val="B9101D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90B760A"/>
    <w:multiLevelType w:val="hybridMultilevel"/>
    <w:tmpl w:val="353A6048"/>
    <w:lvl w:ilvl="0" w:tplc="04180001">
      <w:start w:val="1"/>
      <w:numFmt w:val="bullet"/>
      <w:lvlText w:val=""/>
      <w:lvlJc w:val="left"/>
      <w:pPr>
        <w:ind w:left="720" w:hanging="360"/>
      </w:pPr>
      <w:rPr>
        <w:rFonts w:ascii="Symbol" w:hAnsi="Symbol" w:hint="default"/>
      </w:rPr>
    </w:lvl>
    <w:lvl w:ilvl="1" w:tplc="16EA648E">
      <w:numFmt w:val="bullet"/>
      <w:lvlText w:val="-"/>
      <w:lvlJc w:val="left"/>
      <w:pPr>
        <w:ind w:left="1440" w:hanging="360"/>
      </w:pPr>
      <w:rPr>
        <w:rFonts w:ascii="Times New Roman" w:eastAsiaTheme="minorHAnsi" w:hAnsi="Times New Roman" w:cs="Times New Roman" w:hint="default"/>
        <w:color w:val="000000" w:themeColor="text1"/>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3E7"/>
    <w:rsid w:val="00006AE2"/>
    <w:rsid w:val="00044688"/>
    <w:rsid w:val="00072412"/>
    <w:rsid w:val="0007489C"/>
    <w:rsid w:val="00080BB2"/>
    <w:rsid w:val="000F1038"/>
    <w:rsid w:val="001361EA"/>
    <w:rsid w:val="00163B17"/>
    <w:rsid w:val="0017469A"/>
    <w:rsid w:val="00176DCF"/>
    <w:rsid w:val="00181FDA"/>
    <w:rsid w:val="00186975"/>
    <w:rsid w:val="00207F54"/>
    <w:rsid w:val="00235059"/>
    <w:rsid w:val="002363A4"/>
    <w:rsid w:val="002514BB"/>
    <w:rsid w:val="0027269D"/>
    <w:rsid w:val="002C7D86"/>
    <w:rsid w:val="002D2554"/>
    <w:rsid w:val="002F1E21"/>
    <w:rsid w:val="00333C89"/>
    <w:rsid w:val="00360DAE"/>
    <w:rsid w:val="00372705"/>
    <w:rsid w:val="00391F0C"/>
    <w:rsid w:val="003C2412"/>
    <w:rsid w:val="003D7338"/>
    <w:rsid w:val="003F711D"/>
    <w:rsid w:val="00401CC6"/>
    <w:rsid w:val="004061C3"/>
    <w:rsid w:val="0044120C"/>
    <w:rsid w:val="004744AF"/>
    <w:rsid w:val="004A7A2D"/>
    <w:rsid w:val="00500488"/>
    <w:rsid w:val="00502D47"/>
    <w:rsid w:val="00524F3D"/>
    <w:rsid w:val="00561DFB"/>
    <w:rsid w:val="00570B6A"/>
    <w:rsid w:val="00581668"/>
    <w:rsid w:val="005B6C88"/>
    <w:rsid w:val="005C37F8"/>
    <w:rsid w:val="005F44C5"/>
    <w:rsid w:val="006151DE"/>
    <w:rsid w:val="006667A8"/>
    <w:rsid w:val="00671D87"/>
    <w:rsid w:val="00682229"/>
    <w:rsid w:val="006C5504"/>
    <w:rsid w:val="006E7801"/>
    <w:rsid w:val="006F7AB6"/>
    <w:rsid w:val="0070749D"/>
    <w:rsid w:val="007929D3"/>
    <w:rsid w:val="007A3F62"/>
    <w:rsid w:val="007D43A8"/>
    <w:rsid w:val="007E38F8"/>
    <w:rsid w:val="007E64B0"/>
    <w:rsid w:val="008019A6"/>
    <w:rsid w:val="00804434"/>
    <w:rsid w:val="00826BEF"/>
    <w:rsid w:val="00827199"/>
    <w:rsid w:val="00843D72"/>
    <w:rsid w:val="00847A1A"/>
    <w:rsid w:val="0087570E"/>
    <w:rsid w:val="0088758F"/>
    <w:rsid w:val="008956A0"/>
    <w:rsid w:val="008A0965"/>
    <w:rsid w:val="008B038C"/>
    <w:rsid w:val="008B6A97"/>
    <w:rsid w:val="008E6791"/>
    <w:rsid w:val="00907B57"/>
    <w:rsid w:val="009248D6"/>
    <w:rsid w:val="00931C50"/>
    <w:rsid w:val="00943792"/>
    <w:rsid w:val="00973DD2"/>
    <w:rsid w:val="009829E0"/>
    <w:rsid w:val="00990A82"/>
    <w:rsid w:val="009A47E5"/>
    <w:rsid w:val="009A4F6E"/>
    <w:rsid w:val="009B325A"/>
    <w:rsid w:val="009C1E55"/>
    <w:rsid w:val="009C3C97"/>
    <w:rsid w:val="009D319A"/>
    <w:rsid w:val="00A30BEA"/>
    <w:rsid w:val="00A3733F"/>
    <w:rsid w:val="00A52974"/>
    <w:rsid w:val="00A81088"/>
    <w:rsid w:val="00A943DC"/>
    <w:rsid w:val="00AA130B"/>
    <w:rsid w:val="00AB5080"/>
    <w:rsid w:val="00AE611A"/>
    <w:rsid w:val="00B013A8"/>
    <w:rsid w:val="00B14776"/>
    <w:rsid w:val="00B22FFA"/>
    <w:rsid w:val="00B567FC"/>
    <w:rsid w:val="00B61B3F"/>
    <w:rsid w:val="00B94B76"/>
    <w:rsid w:val="00B97F41"/>
    <w:rsid w:val="00BA401B"/>
    <w:rsid w:val="00BB60E7"/>
    <w:rsid w:val="00C428FF"/>
    <w:rsid w:val="00C450C3"/>
    <w:rsid w:val="00C761E7"/>
    <w:rsid w:val="00C823E7"/>
    <w:rsid w:val="00CA5AB1"/>
    <w:rsid w:val="00CC1BB5"/>
    <w:rsid w:val="00CC3305"/>
    <w:rsid w:val="00CD6753"/>
    <w:rsid w:val="00D25D25"/>
    <w:rsid w:val="00D4063E"/>
    <w:rsid w:val="00D4701D"/>
    <w:rsid w:val="00D569F9"/>
    <w:rsid w:val="00DF28FF"/>
    <w:rsid w:val="00E20214"/>
    <w:rsid w:val="00E244F1"/>
    <w:rsid w:val="00E323A7"/>
    <w:rsid w:val="00E551CF"/>
    <w:rsid w:val="00E6127C"/>
    <w:rsid w:val="00E85B51"/>
    <w:rsid w:val="00ED676A"/>
    <w:rsid w:val="00EE0B0D"/>
    <w:rsid w:val="00F34527"/>
    <w:rsid w:val="00F61992"/>
    <w:rsid w:val="00F64612"/>
    <w:rsid w:val="00F7266E"/>
    <w:rsid w:val="00F72D58"/>
    <w:rsid w:val="00F75F8C"/>
    <w:rsid w:val="00FB3C42"/>
    <w:rsid w:val="00FE2783"/>
    <w:rsid w:val="00FF41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853"/>
  <w15:docId w15:val="{CE2A872A-861B-4455-94A3-60256CD0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9D"/>
    <w:pPr>
      <w:ind w:left="720"/>
      <w:contextualSpacing/>
    </w:pPr>
  </w:style>
  <w:style w:type="paragraph" w:styleId="BalloonText">
    <w:name w:val="Balloon Text"/>
    <w:basedOn w:val="Normal"/>
    <w:link w:val="BalloonTextChar"/>
    <w:uiPriority w:val="99"/>
    <w:semiHidden/>
    <w:unhideWhenUsed/>
    <w:rsid w:val="00F7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8C"/>
    <w:rPr>
      <w:rFonts w:ascii="Tahoma" w:hAnsi="Tahoma" w:cs="Tahoma"/>
      <w:sz w:val="16"/>
      <w:szCs w:val="16"/>
    </w:rPr>
  </w:style>
  <w:style w:type="character" w:styleId="Hyperlink">
    <w:name w:val="Hyperlink"/>
    <w:basedOn w:val="DefaultParagraphFont"/>
    <w:uiPriority w:val="99"/>
    <w:semiHidden/>
    <w:unhideWhenUsed/>
    <w:rsid w:val="00C761E7"/>
    <w:rPr>
      <w:color w:val="000000"/>
      <w:u w:val="single"/>
    </w:rPr>
  </w:style>
  <w:style w:type="paragraph" w:styleId="NormalWeb">
    <w:name w:val="Normal (Web)"/>
    <w:basedOn w:val="Normal"/>
    <w:uiPriority w:val="99"/>
    <w:semiHidden/>
    <w:unhideWhenUsed/>
    <w:rsid w:val="0088758F"/>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rsid w:val="0036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8431">
      <w:bodyDiv w:val="1"/>
      <w:marLeft w:val="0"/>
      <w:marRight w:val="0"/>
      <w:marTop w:val="0"/>
      <w:marBottom w:val="0"/>
      <w:divBdr>
        <w:top w:val="none" w:sz="0" w:space="0" w:color="auto"/>
        <w:left w:val="none" w:sz="0" w:space="0" w:color="auto"/>
        <w:bottom w:val="none" w:sz="0" w:space="0" w:color="auto"/>
        <w:right w:val="none" w:sz="0" w:space="0" w:color="auto"/>
      </w:divBdr>
      <w:divsChild>
        <w:div w:id="137986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004624">
              <w:marLeft w:val="0"/>
              <w:marRight w:val="0"/>
              <w:marTop w:val="0"/>
              <w:marBottom w:val="0"/>
              <w:divBdr>
                <w:top w:val="none" w:sz="0" w:space="0" w:color="auto"/>
                <w:left w:val="none" w:sz="0" w:space="0" w:color="auto"/>
                <w:bottom w:val="none" w:sz="0" w:space="0" w:color="auto"/>
                <w:right w:val="none" w:sz="0" w:space="0" w:color="auto"/>
              </w:divBdr>
              <w:divsChild>
                <w:div w:id="7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4364">
      <w:bodyDiv w:val="1"/>
      <w:marLeft w:val="0"/>
      <w:marRight w:val="0"/>
      <w:marTop w:val="0"/>
      <w:marBottom w:val="0"/>
      <w:divBdr>
        <w:top w:val="none" w:sz="0" w:space="0" w:color="auto"/>
        <w:left w:val="none" w:sz="0" w:space="0" w:color="auto"/>
        <w:bottom w:val="none" w:sz="0" w:space="0" w:color="auto"/>
        <w:right w:val="none" w:sz="0" w:space="0" w:color="auto"/>
      </w:divBdr>
    </w:div>
    <w:div w:id="829055233">
      <w:bodyDiv w:val="1"/>
      <w:marLeft w:val="0"/>
      <w:marRight w:val="0"/>
      <w:marTop w:val="0"/>
      <w:marBottom w:val="0"/>
      <w:divBdr>
        <w:top w:val="none" w:sz="0" w:space="0" w:color="auto"/>
        <w:left w:val="none" w:sz="0" w:space="0" w:color="auto"/>
        <w:bottom w:val="none" w:sz="0" w:space="0" w:color="auto"/>
        <w:right w:val="none" w:sz="0" w:space="0" w:color="auto"/>
      </w:divBdr>
    </w:div>
    <w:div w:id="1088382417">
      <w:bodyDiv w:val="1"/>
      <w:marLeft w:val="0"/>
      <w:marRight w:val="0"/>
      <w:marTop w:val="0"/>
      <w:marBottom w:val="0"/>
      <w:divBdr>
        <w:top w:val="none" w:sz="0" w:space="0" w:color="auto"/>
        <w:left w:val="none" w:sz="0" w:space="0" w:color="auto"/>
        <w:bottom w:val="none" w:sz="0" w:space="0" w:color="auto"/>
        <w:right w:val="none" w:sz="0" w:space="0" w:color="auto"/>
      </w:divBdr>
    </w:div>
    <w:div w:id="1140685627">
      <w:bodyDiv w:val="1"/>
      <w:marLeft w:val="0"/>
      <w:marRight w:val="0"/>
      <w:marTop w:val="0"/>
      <w:marBottom w:val="0"/>
      <w:divBdr>
        <w:top w:val="none" w:sz="0" w:space="0" w:color="auto"/>
        <w:left w:val="none" w:sz="0" w:space="0" w:color="auto"/>
        <w:bottom w:val="none" w:sz="0" w:space="0" w:color="auto"/>
        <w:right w:val="none" w:sz="0" w:space="0" w:color="auto"/>
      </w:divBdr>
    </w:div>
    <w:div w:id="1157454767">
      <w:bodyDiv w:val="1"/>
      <w:marLeft w:val="0"/>
      <w:marRight w:val="0"/>
      <w:marTop w:val="0"/>
      <w:marBottom w:val="0"/>
      <w:divBdr>
        <w:top w:val="none" w:sz="0" w:space="0" w:color="auto"/>
        <w:left w:val="none" w:sz="0" w:space="0" w:color="auto"/>
        <w:bottom w:val="none" w:sz="0" w:space="0" w:color="auto"/>
        <w:right w:val="none" w:sz="0" w:space="0" w:color="auto"/>
      </w:divBdr>
      <w:divsChild>
        <w:div w:id="1279920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48081">
              <w:marLeft w:val="0"/>
              <w:marRight w:val="0"/>
              <w:marTop w:val="0"/>
              <w:marBottom w:val="0"/>
              <w:divBdr>
                <w:top w:val="none" w:sz="0" w:space="0" w:color="auto"/>
                <w:left w:val="none" w:sz="0" w:space="0" w:color="auto"/>
                <w:bottom w:val="none" w:sz="0" w:space="0" w:color="auto"/>
                <w:right w:val="none" w:sz="0" w:space="0" w:color="auto"/>
              </w:divBdr>
              <w:divsChild>
                <w:div w:id="11975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1881">
      <w:bodyDiv w:val="1"/>
      <w:marLeft w:val="0"/>
      <w:marRight w:val="0"/>
      <w:marTop w:val="0"/>
      <w:marBottom w:val="0"/>
      <w:divBdr>
        <w:top w:val="none" w:sz="0" w:space="0" w:color="auto"/>
        <w:left w:val="none" w:sz="0" w:space="0" w:color="auto"/>
        <w:bottom w:val="none" w:sz="0" w:space="0" w:color="auto"/>
        <w:right w:val="none" w:sz="0" w:space="0" w:color="auto"/>
      </w:divBdr>
      <w:divsChild>
        <w:div w:id="483547070">
          <w:marLeft w:val="0"/>
          <w:marRight w:val="0"/>
          <w:marTop w:val="0"/>
          <w:marBottom w:val="0"/>
          <w:divBdr>
            <w:top w:val="none" w:sz="0" w:space="0" w:color="auto"/>
            <w:left w:val="none" w:sz="0" w:space="0" w:color="auto"/>
            <w:bottom w:val="none" w:sz="0" w:space="0" w:color="auto"/>
            <w:right w:val="none" w:sz="0" w:space="0" w:color="auto"/>
          </w:divBdr>
          <w:divsChild>
            <w:div w:id="2000383264">
              <w:marLeft w:val="0"/>
              <w:marRight w:val="0"/>
              <w:marTop w:val="0"/>
              <w:marBottom w:val="0"/>
              <w:divBdr>
                <w:top w:val="none" w:sz="0" w:space="0" w:color="auto"/>
                <w:left w:val="none" w:sz="0" w:space="0" w:color="auto"/>
                <w:bottom w:val="none" w:sz="0" w:space="0" w:color="auto"/>
                <w:right w:val="none" w:sz="0" w:space="0" w:color="auto"/>
              </w:divBdr>
              <w:divsChild>
                <w:div w:id="928389982">
                  <w:marLeft w:val="0"/>
                  <w:marRight w:val="0"/>
                  <w:marTop w:val="0"/>
                  <w:marBottom w:val="0"/>
                  <w:divBdr>
                    <w:top w:val="none" w:sz="0" w:space="0" w:color="auto"/>
                    <w:left w:val="none" w:sz="0" w:space="0" w:color="auto"/>
                    <w:bottom w:val="none" w:sz="0" w:space="0" w:color="auto"/>
                    <w:right w:val="none" w:sz="0" w:space="0" w:color="auto"/>
                  </w:divBdr>
                  <w:divsChild>
                    <w:div w:id="10934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20R%20O%20J%20E%20C%20T%20S\BLOG\ARTICOLE\7_Conditii_Investitii_MIT\DataBa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20R%20O%20J%20E%20C%20T%20S\BLOG\ARTICOLE\7_Conditii_Investitii_MIT\DataBa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20R%20O%20J%20E%20C%20T%20S\BLOG\ARTICOLE\7_Conditii_Investitii_MIT\DataB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433289588801396E-2"/>
          <c:y val="5.0925925925925923E-2"/>
          <c:w val="0.88381561679790011"/>
          <c:h val="0.75117162438028584"/>
        </c:manualLayout>
      </c:layout>
      <c:lineChart>
        <c:grouping val="standard"/>
        <c:varyColors val="0"/>
        <c:ser>
          <c:idx val="0"/>
          <c:order val="0"/>
          <c:tx>
            <c:strRef>
              <c:f>UE!$A$12</c:f>
              <c:strCache>
                <c:ptCount val="1"/>
                <c:pt idx="0">
                  <c:v>Inflatie UE(28)</c:v>
                </c:pt>
              </c:strCache>
            </c:strRef>
          </c:tx>
          <c:marker>
            <c:symbol val="none"/>
          </c:marker>
          <c:cat>
            <c:strRef>
              <c:f>UE!$B$11:$BX$11</c:f>
              <c:strCache>
                <c:ptCount val="75"/>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strCache>
            </c:strRef>
          </c:cat>
          <c:val>
            <c:numRef>
              <c:f>UE!$B$12:$BX$12</c:f>
              <c:numCache>
                <c:formatCode>0.0%</c:formatCode>
                <c:ptCount val="75"/>
                <c:pt idx="0">
                  <c:v>2.8999999999999998E-2</c:v>
                </c:pt>
                <c:pt idx="1">
                  <c:v>2.8999999999999998E-2</c:v>
                </c:pt>
                <c:pt idx="2">
                  <c:v>2.8999999999999998E-2</c:v>
                </c:pt>
                <c:pt idx="3">
                  <c:v>2.7000000000000003E-2</c:v>
                </c:pt>
                <c:pt idx="4">
                  <c:v>2.6000000000000002E-2</c:v>
                </c:pt>
                <c:pt idx="5">
                  <c:v>2.5000000000000001E-2</c:v>
                </c:pt>
                <c:pt idx="6">
                  <c:v>2.6000000000000002E-2</c:v>
                </c:pt>
                <c:pt idx="7">
                  <c:v>2.7000000000000003E-2</c:v>
                </c:pt>
                <c:pt idx="8">
                  <c:v>2.7000000000000003E-2</c:v>
                </c:pt>
                <c:pt idx="9">
                  <c:v>2.7000000000000003E-2</c:v>
                </c:pt>
                <c:pt idx="10">
                  <c:v>2.4E-2</c:v>
                </c:pt>
                <c:pt idx="11">
                  <c:v>2.3E-2</c:v>
                </c:pt>
                <c:pt idx="12">
                  <c:v>2.1000000000000001E-2</c:v>
                </c:pt>
                <c:pt idx="13">
                  <c:v>0.02</c:v>
                </c:pt>
                <c:pt idx="14">
                  <c:v>1.9E-2</c:v>
                </c:pt>
                <c:pt idx="15">
                  <c:v>1.3999999999999999E-2</c:v>
                </c:pt>
                <c:pt idx="16">
                  <c:v>1.6E-2</c:v>
                </c:pt>
                <c:pt idx="17">
                  <c:v>1.7000000000000001E-2</c:v>
                </c:pt>
                <c:pt idx="18">
                  <c:v>1.7000000000000001E-2</c:v>
                </c:pt>
                <c:pt idx="19">
                  <c:v>1.4999999999999999E-2</c:v>
                </c:pt>
                <c:pt idx="20">
                  <c:v>1.3000000000000001E-2</c:v>
                </c:pt>
                <c:pt idx="21">
                  <c:v>9.0000000000000011E-3</c:v>
                </c:pt>
                <c:pt idx="22">
                  <c:v>0.01</c:v>
                </c:pt>
                <c:pt idx="23">
                  <c:v>0.01</c:v>
                </c:pt>
                <c:pt idx="24">
                  <c:v>9.0000000000000011E-3</c:v>
                </c:pt>
                <c:pt idx="25">
                  <c:v>8.0000000000000002E-3</c:v>
                </c:pt>
                <c:pt idx="26">
                  <c:v>6.0000000000000001E-3</c:v>
                </c:pt>
                <c:pt idx="27">
                  <c:v>8.0000000000000002E-3</c:v>
                </c:pt>
                <c:pt idx="28">
                  <c:v>6.0000000000000001E-3</c:v>
                </c:pt>
                <c:pt idx="29">
                  <c:v>6.9999999999999993E-3</c:v>
                </c:pt>
                <c:pt idx="30">
                  <c:v>5.0000000000000001E-3</c:v>
                </c:pt>
                <c:pt idx="31">
                  <c:v>5.0000000000000001E-3</c:v>
                </c:pt>
                <c:pt idx="32">
                  <c:v>4.0000000000000001E-3</c:v>
                </c:pt>
                <c:pt idx="33">
                  <c:v>5.0000000000000001E-3</c:v>
                </c:pt>
                <c:pt idx="34">
                  <c:v>4.0000000000000001E-3</c:v>
                </c:pt>
                <c:pt idx="35">
                  <c:v>-1E-3</c:v>
                </c:pt>
                <c:pt idx="36">
                  <c:v>-5.0000000000000001E-3</c:v>
                </c:pt>
                <c:pt idx="37">
                  <c:v>-3.0000000000000001E-3</c:v>
                </c:pt>
                <c:pt idx="38">
                  <c:v>-1E-3</c:v>
                </c:pt>
                <c:pt idx="39">
                  <c:v>0</c:v>
                </c:pt>
                <c:pt idx="40">
                  <c:v>3.0000000000000001E-3</c:v>
                </c:pt>
                <c:pt idx="41">
                  <c:v>1E-3</c:v>
                </c:pt>
                <c:pt idx="42">
                  <c:v>2E-3</c:v>
                </c:pt>
                <c:pt idx="43">
                  <c:v>0</c:v>
                </c:pt>
                <c:pt idx="44">
                  <c:v>-1E-3</c:v>
                </c:pt>
                <c:pt idx="45">
                  <c:v>0</c:v>
                </c:pt>
                <c:pt idx="46">
                  <c:v>1E-3</c:v>
                </c:pt>
                <c:pt idx="47">
                  <c:v>2E-3</c:v>
                </c:pt>
                <c:pt idx="48">
                  <c:v>3.0000000000000001E-3</c:v>
                </c:pt>
                <c:pt idx="49">
                  <c:v>-1E-3</c:v>
                </c:pt>
                <c:pt idx="50">
                  <c:v>0</c:v>
                </c:pt>
                <c:pt idx="51">
                  <c:v>-2E-3</c:v>
                </c:pt>
                <c:pt idx="52">
                  <c:v>-1E-3</c:v>
                </c:pt>
                <c:pt idx="53">
                  <c:v>1E-3</c:v>
                </c:pt>
                <c:pt idx="54">
                  <c:v>2E-3</c:v>
                </c:pt>
                <c:pt idx="55">
                  <c:v>3.0000000000000001E-3</c:v>
                </c:pt>
                <c:pt idx="56">
                  <c:v>4.0000000000000001E-3</c:v>
                </c:pt>
                <c:pt idx="57">
                  <c:v>5.0000000000000001E-3</c:v>
                </c:pt>
                <c:pt idx="58">
                  <c:v>6.0000000000000001E-3</c:v>
                </c:pt>
                <c:pt idx="59">
                  <c:v>1.2E-2</c:v>
                </c:pt>
                <c:pt idx="60">
                  <c:v>1.7000000000000001E-2</c:v>
                </c:pt>
                <c:pt idx="61">
                  <c:v>0.02</c:v>
                </c:pt>
                <c:pt idx="62">
                  <c:v>1.6E-2</c:v>
                </c:pt>
                <c:pt idx="63">
                  <c:v>0.02</c:v>
                </c:pt>
                <c:pt idx="64">
                  <c:v>1.6E-2</c:v>
                </c:pt>
                <c:pt idx="65">
                  <c:v>1.4999999999999999E-2</c:v>
                </c:pt>
                <c:pt idx="66">
                  <c:v>1.4999999999999999E-2</c:v>
                </c:pt>
                <c:pt idx="67">
                  <c:v>1.7000000000000001E-2</c:v>
                </c:pt>
                <c:pt idx="68">
                  <c:v>1.8000000000000002E-2</c:v>
                </c:pt>
                <c:pt idx="69">
                  <c:v>1.7000000000000001E-2</c:v>
                </c:pt>
                <c:pt idx="70">
                  <c:v>1.8000000000000002E-2</c:v>
                </c:pt>
                <c:pt idx="71">
                  <c:v>1.7000000000000001E-2</c:v>
                </c:pt>
                <c:pt idx="72">
                  <c:v>1.6E-2</c:v>
                </c:pt>
                <c:pt idx="73">
                  <c:v>1.3999999999999999E-2</c:v>
                </c:pt>
                <c:pt idx="74">
                  <c:v>1.4999999999999999E-2</c:v>
                </c:pt>
              </c:numCache>
            </c:numRef>
          </c:val>
          <c:smooth val="0"/>
          <c:extLst>
            <c:ext xmlns:c16="http://schemas.microsoft.com/office/drawing/2014/chart" uri="{C3380CC4-5D6E-409C-BE32-E72D297353CC}">
              <c16:uniqueId val="{00000000-21A5-48C5-9193-9A9B9DA5F48C}"/>
            </c:ext>
          </c:extLst>
        </c:ser>
        <c:ser>
          <c:idx val="1"/>
          <c:order val="1"/>
          <c:tx>
            <c:strRef>
              <c:f>UE!$A$13</c:f>
              <c:strCache>
                <c:ptCount val="1"/>
                <c:pt idx="0">
                  <c:v>EURIBOR(3m)</c:v>
                </c:pt>
              </c:strCache>
            </c:strRef>
          </c:tx>
          <c:marker>
            <c:symbol val="none"/>
          </c:marker>
          <c:cat>
            <c:strRef>
              <c:f>UE!$B$11:$BX$11</c:f>
              <c:strCache>
                <c:ptCount val="75"/>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strCache>
            </c:strRef>
          </c:cat>
          <c:val>
            <c:numRef>
              <c:f>UE!$B$13:$BX$13</c:f>
              <c:numCache>
                <c:formatCode>0.0%</c:formatCode>
                <c:ptCount val="75"/>
                <c:pt idx="0">
                  <c:v>1.3429999999999999E-2</c:v>
                </c:pt>
                <c:pt idx="1">
                  <c:v>1.115E-2</c:v>
                </c:pt>
                <c:pt idx="2">
                  <c:v>9.6699999999999998E-3</c:v>
                </c:pt>
                <c:pt idx="3">
                  <c:v>7.7099999999999998E-3</c:v>
                </c:pt>
                <c:pt idx="4">
                  <c:v>7.0400000000000003E-3</c:v>
                </c:pt>
                <c:pt idx="5">
                  <c:v>6.6499999999999997E-3</c:v>
                </c:pt>
                <c:pt idx="6">
                  <c:v>6.5199999999999998E-3</c:v>
                </c:pt>
                <c:pt idx="7">
                  <c:v>3.81E-3</c:v>
                </c:pt>
                <c:pt idx="8">
                  <c:v>2.7599999999999999E-3</c:v>
                </c:pt>
                <c:pt idx="9">
                  <c:v>2.2300000000000002E-3</c:v>
                </c:pt>
                <c:pt idx="10">
                  <c:v>1.97E-3</c:v>
                </c:pt>
                <c:pt idx="11">
                  <c:v>1.9E-3</c:v>
                </c:pt>
                <c:pt idx="12">
                  <c:v>1.8799999999999999E-3</c:v>
                </c:pt>
                <c:pt idx="13">
                  <c:v>2.3400000000000001E-3</c:v>
                </c:pt>
                <c:pt idx="14">
                  <c:v>2.0600000000000002E-3</c:v>
                </c:pt>
                <c:pt idx="15">
                  <c:v>2.0999999999999999E-3</c:v>
                </c:pt>
                <c:pt idx="16">
                  <c:v>2.0699999999999998E-3</c:v>
                </c:pt>
                <c:pt idx="17">
                  <c:v>2E-3</c:v>
                </c:pt>
                <c:pt idx="18">
                  <c:v>2.2200000000000002E-3</c:v>
                </c:pt>
                <c:pt idx="19">
                  <c:v>2.2799999999999999E-3</c:v>
                </c:pt>
                <c:pt idx="20">
                  <c:v>2.2499999999999998E-3</c:v>
                </c:pt>
                <c:pt idx="21">
                  <c:v>2.2499999999999998E-3</c:v>
                </c:pt>
                <c:pt idx="22">
                  <c:v>2.2599999999999999E-3</c:v>
                </c:pt>
                <c:pt idx="23">
                  <c:v>2.3600000000000001E-3</c:v>
                </c:pt>
                <c:pt idx="24">
                  <c:v>2.8400000000000001E-3</c:v>
                </c:pt>
                <c:pt idx="25">
                  <c:v>2.8999999999999998E-3</c:v>
                </c:pt>
                <c:pt idx="26">
                  <c:v>2.8800000000000002E-3</c:v>
                </c:pt>
                <c:pt idx="27">
                  <c:v>3.13E-3</c:v>
                </c:pt>
                <c:pt idx="28">
                  <c:v>3.3600000000000001E-3</c:v>
                </c:pt>
                <c:pt idx="29">
                  <c:v>3.0899999999999999E-3</c:v>
                </c:pt>
                <c:pt idx="30">
                  <c:v>2.0600000000000002E-3</c:v>
                </c:pt>
                <c:pt idx="31">
                  <c:v>2.0799999999999998E-3</c:v>
                </c:pt>
                <c:pt idx="32">
                  <c:v>1.5900000000000001E-3</c:v>
                </c:pt>
                <c:pt idx="33">
                  <c:v>8.1999999999999998E-4</c:v>
                </c:pt>
                <c:pt idx="34">
                  <c:v>8.4999999999999995E-4</c:v>
                </c:pt>
                <c:pt idx="35">
                  <c:v>8.1999999999999998E-4</c:v>
                </c:pt>
                <c:pt idx="36">
                  <c:v>7.6000000000000004E-4</c:v>
                </c:pt>
                <c:pt idx="37">
                  <c:v>5.5000000000000003E-4</c:v>
                </c:pt>
                <c:pt idx="38">
                  <c:v>3.8999999999999999E-4</c:v>
                </c:pt>
                <c:pt idx="39">
                  <c:v>1.8000000000000001E-4</c:v>
                </c:pt>
                <c:pt idx="40">
                  <c:v>-6.9999999999999994E-5</c:v>
                </c:pt>
                <c:pt idx="41">
                  <c:v>-1.2999999999999999E-4</c:v>
                </c:pt>
                <c:pt idx="42">
                  <c:v>-1.3999999999999999E-4</c:v>
                </c:pt>
                <c:pt idx="43">
                  <c:v>-2.3000000000000001E-4</c:v>
                </c:pt>
                <c:pt idx="44">
                  <c:v>-3.3E-4</c:v>
                </c:pt>
                <c:pt idx="45">
                  <c:v>-4.2999999999999999E-4</c:v>
                </c:pt>
                <c:pt idx="46">
                  <c:v>-6.6E-4</c:v>
                </c:pt>
                <c:pt idx="47">
                  <c:v>-1.16E-3</c:v>
                </c:pt>
                <c:pt idx="48">
                  <c:v>-1.32E-3</c:v>
                </c:pt>
                <c:pt idx="49">
                  <c:v>-1.6199999999999999E-3</c:v>
                </c:pt>
                <c:pt idx="50">
                  <c:v>-2.0699999999999998E-3</c:v>
                </c:pt>
                <c:pt idx="51">
                  <c:v>-2.4499999999999999E-3</c:v>
                </c:pt>
                <c:pt idx="52">
                  <c:v>-2.5000000000000001E-3</c:v>
                </c:pt>
                <c:pt idx="53">
                  <c:v>-2.6099999999999999E-3</c:v>
                </c:pt>
                <c:pt idx="54">
                  <c:v>-2.8999999999999998E-3</c:v>
                </c:pt>
                <c:pt idx="55">
                  <c:v>-2.97E-3</c:v>
                </c:pt>
                <c:pt idx="56">
                  <c:v>-2.99E-3</c:v>
                </c:pt>
                <c:pt idx="57">
                  <c:v>-3.0100000000000001E-3</c:v>
                </c:pt>
                <c:pt idx="58">
                  <c:v>-3.13E-3</c:v>
                </c:pt>
                <c:pt idx="59">
                  <c:v>-3.13E-3</c:v>
                </c:pt>
                <c:pt idx="60">
                  <c:v>-3.1800000000000001E-3</c:v>
                </c:pt>
                <c:pt idx="61">
                  <c:v>-3.2799999999999999E-3</c:v>
                </c:pt>
                <c:pt idx="62">
                  <c:v>-3.29E-3</c:v>
                </c:pt>
                <c:pt idx="63">
                  <c:v>-3.3E-3</c:v>
                </c:pt>
                <c:pt idx="64">
                  <c:v>-3.29E-3</c:v>
                </c:pt>
                <c:pt idx="65">
                  <c:v>-3.29E-3</c:v>
                </c:pt>
                <c:pt idx="66">
                  <c:v>-3.31E-3</c:v>
                </c:pt>
                <c:pt idx="67">
                  <c:v>-3.31E-3</c:v>
                </c:pt>
                <c:pt idx="68">
                  <c:v>-3.29E-3</c:v>
                </c:pt>
                <c:pt idx="69">
                  <c:v>-3.29E-3</c:v>
                </c:pt>
                <c:pt idx="70">
                  <c:v>-3.29E-3</c:v>
                </c:pt>
                <c:pt idx="71">
                  <c:v>-3.2599999999999999E-3</c:v>
                </c:pt>
                <c:pt idx="72">
                  <c:v>-3.79E-3</c:v>
                </c:pt>
                <c:pt idx="73">
                  <c:v>-3.79E-3</c:v>
                </c:pt>
                <c:pt idx="74">
                  <c:v>-3.7799999999999999E-3</c:v>
                </c:pt>
              </c:numCache>
            </c:numRef>
          </c:val>
          <c:smooth val="0"/>
          <c:extLst>
            <c:ext xmlns:c16="http://schemas.microsoft.com/office/drawing/2014/chart" uri="{C3380CC4-5D6E-409C-BE32-E72D297353CC}">
              <c16:uniqueId val="{00000001-21A5-48C5-9193-9A9B9DA5F48C}"/>
            </c:ext>
          </c:extLst>
        </c:ser>
        <c:dLbls>
          <c:showLegendKey val="0"/>
          <c:showVal val="0"/>
          <c:showCatName val="0"/>
          <c:showSerName val="0"/>
          <c:showPercent val="0"/>
          <c:showBubbleSize val="0"/>
        </c:dLbls>
        <c:smooth val="0"/>
        <c:axId val="114356992"/>
        <c:axId val="114358528"/>
      </c:lineChart>
      <c:catAx>
        <c:axId val="114356992"/>
        <c:scaling>
          <c:orientation val="minMax"/>
        </c:scaling>
        <c:delete val="0"/>
        <c:axPos val="b"/>
        <c:numFmt formatCode="General" sourceLinked="0"/>
        <c:majorTickMark val="out"/>
        <c:minorTickMark val="none"/>
        <c:tickLblPos val="low"/>
        <c:crossAx val="114358528"/>
        <c:crosses val="autoZero"/>
        <c:auto val="1"/>
        <c:lblAlgn val="ctr"/>
        <c:lblOffset val="100"/>
        <c:noMultiLvlLbl val="0"/>
      </c:catAx>
      <c:valAx>
        <c:axId val="114358528"/>
        <c:scaling>
          <c:orientation val="minMax"/>
        </c:scaling>
        <c:delete val="0"/>
        <c:axPos val="l"/>
        <c:numFmt formatCode="0.0%" sourceLinked="1"/>
        <c:majorTickMark val="out"/>
        <c:minorTickMark val="none"/>
        <c:tickLblPos val="nextTo"/>
        <c:crossAx val="114356992"/>
        <c:crosses val="autoZero"/>
        <c:crossBetween val="between"/>
      </c:valAx>
    </c:plotArea>
    <c:legend>
      <c:legendPos val="r"/>
      <c:layout>
        <c:manualLayout>
          <c:xMode val="edge"/>
          <c:yMode val="edge"/>
          <c:x val="0.3343600748676907"/>
          <c:y val="3.9080070977043364E-2"/>
          <c:w val="0.42093971860074875"/>
          <c:h val="0.18002384385050457"/>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39890324706496"/>
          <c:y val="5.6030183727034118E-2"/>
          <c:w val="0.85736593768430225"/>
          <c:h val="0.69120106465565045"/>
        </c:manualLayout>
      </c:layout>
      <c:lineChart>
        <c:grouping val="standard"/>
        <c:varyColors val="0"/>
        <c:ser>
          <c:idx val="0"/>
          <c:order val="0"/>
          <c:tx>
            <c:strRef>
              <c:f>RO!$B$1</c:f>
              <c:strCache>
                <c:ptCount val="1"/>
                <c:pt idx="0">
                  <c:v>Inflatia Anuala</c:v>
                </c:pt>
              </c:strCache>
            </c:strRef>
          </c:tx>
          <c:marker>
            <c:symbol val="none"/>
          </c:marker>
          <c:cat>
            <c:strRef>
              <c:f>RO!$A$2:$A$76</c:f>
              <c:strCache>
                <c:ptCount val="75"/>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strCache>
            </c:strRef>
          </c:cat>
          <c:val>
            <c:numRef>
              <c:f>RO!$B$2:$B$76</c:f>
              <c:numCache>
                <c:formatCode>0.00%</c:formatCode>
                <c:ptCount val="75"/>
                <c:pt idx="0">
                  <c:v>2.7200000000000002E-2</c:v>
                </c:pt>
                <c:pt idx="1">
                  <c:v>2.5899999999999999E-2</c:v>
                </c:pt>
                <c:pt idx="2">
                  <c:v>2.4E-2</c:v>
                </c:pt>
                <c:pt idx="3">
                  <c:v>1.8000000000000002E-2</c:v>
                </c:pt>
                <c:pt idx="4">
                  <c:v>1.7899999999999999E-2</c:v>
                </c:pt>
                <c:pt idx="5">
                  <c:v>2.0400000000000001E-2</c:v>
                </c:pt>
                <c:pt idx="6">
                  <c:v>0.03</c:v>
                </c:pt>
                <c:pt idx="7">
                  <c:v>3.8800000000000001E-2</c:v>
                </c:pt>
                <c:pt idx="8">
                  <c:v>5.33E-2</c:v>
                </c:pt>
                <c:pt idx="9">
                  <c:v>4.9599999999999998E-2</c:v>
                </c:pt>
                <c:pt idx="10">
                  <c:v>4.5600000000000002E-2</c:v>
                </c:pt>
                <c:pt idx="11">
                  <c:v>4.9500000000000002E-2</c:v>
                </c:pt>
                <c:pt idx="12">
                  <c:v>5.9700000000000003E-2</c:v>
                </c:pt>
                <c:pt idx="13">
                  <c:v>5.6500000000000002E-2</c:v>
                </c:pt>
                <c:pt idx="14">
                  <c:v>5.2499999999999998E-2</c:v>
                </c:pt>
                <c:pt idx="15">
                  <c:v>5.2900000000000003E-2</c:v>
                </c:pt>
                <c:pt idx="16">
                  <c:v>5.3200000000000004E-2</c:v>
                </c:pt>
                <c:pt idx="17">
                  <c:v>5.3699999999999998E-2</c:v>
                </c:pt>
                <c:pt idx="18">
                  <c:v>4.41E-2</c:v>
                </c:pt>
                <c:pt idx="19">
                  <c:v>3.6699999999999997E-2</c:v>
                </c:pt>
                <c:pt idx="20">
                  <c:v>1.8799999999999997E-2</c:v>
                </c:pt>
                <c:pt idx="21">
                  <c:v>1.9E-2</c:v>
                </c:pt>
                <c:pt idx="22">
                  <c:v>1.83E-2</c:v>
                </c:pt>
                <c:pt idx="23">
                  <c:v>1.55E-2</c:v>
                </c:pt>
                <c:pt idx="24">
                  <c:v>1.06E-2</c:v>
                </c:pt>
                <c:pt idx="25">
                  <c:v>1.0500000000000001E-2</c:v>
                </c:pt>
                <c:pt idx="26">
                  <c:v>1.04E-2</c:v>
                </c:pt>
                <c:pt idx="27">
                  <c:v>1.21E-2</c:v>
                </c:pt>
                <c:pt idx="28">
                  <c:v>9.4000000000000004E-3</c:v>
                </c:pt>
                <c:pt idx="29">
                  <c:v>6.6E-3</c:v>
                </c:pt>
                <c:pt idx="30">
                  <c:v>9.4999999999999998E-3</c:v>
                </c:pt>
                <c:pt idx="31">
                  <c:v>8.3999999999999995E-3</c:v>
                </c:pt>
                <c:pt idx="32">
                  <c:v>1.54E-2</c:v>
                </c:pt>
                <c:pt idx="33">
                  <c:v>1.44E-2</c:v>
                </c:pt>
                <c:pt idx="34">
                  <c:v>1.26E-2</c:v>
                </c:pt>
                <c:pt idx="35">
                  <c:v>8.3000000000000001E-3</c:v>
                </c:pt>
                <c:pt idx="36">
                  <c:v>4.0999999999999995E-3</c:v>
                </c:pt>
                <c:pt idx="37">
                  <c:v>4.0000000000000001E-3</c:v>
                </c:pt>
                <c:pt idx="38">
                  <c:v>7.9000000000000008E-3</c:v>
                </c:pt>
                <c:pt idx="39">
                  <c:v>6.5000000000000006E-3</c:v>
                </c:pt>
                <c:pt idx="40">
                  <c:v>1.1599999999999999E-2</c:v>
                </c:pt>
                <c:pt idx="41">
                  <c:v>-1.55E-2</c:v>
                </c:pt>
                <c:pt idx="42">
                  <c:v>-1.67E-2</c:v>
                </c:pt>
                <c:pt idx="43">
                  <c:v>-1.8700000000000001E-2</c:v>
                </c:pt>
                <c:pt idx="44">
                  <c:v>-1.7299999999999999E-2</c:v>
                </c:pt>
                <c:pt idx="45">
                  <c:v>-1.6E-2</c:v>
                </c:pt>
                <c:pt idx="46">
                  <c:v>-1.1000000000000001E-2</c:v>
                </c:pt>
                <c:pt idx="47">
                  <c:v>-9.0000000000000011E-3</c:v>
                </c:pt>
                <c:pt idx="48">
                  <c:v>-2.1000000000000001E-2</c:v>
                </c:pt>
                <c:pt idx="49">
                  <c:v>-2.7000000000000003E-2</c:v>
                </c:pt>
                <c:pt idx="50">
                  <c:v>-0.03</c:v>
                </c:pt>
                <c:pt idx="51">
                  <c:v>-3.3000000000000002E-2</c:v>
                </c:pt>
                <c:pt idx="52">
                  <c:v>-3.5000000000000003E-2</c:v>
                </c:pt>
                <c:pt idx="53">
                  <c:v>-6.9999999999999993E-3</c:v>
                </c:pt>
                <c:pt idx="54">
                  <c:v>-8.0000000000000002E-3</c:v>
                </c:pt>
                <c:pt idx="55">
                  <c:v>-2E-3</c:v>
                </c:pt>
                <c:pt idx="56">
                  <c:v>-6.0000000000000001E-3</c:v>
                </c:pt>
                <c:pt idx="57">
                  <c:v>-4.0000000000000001E-3</c:v>
                </c:pt>
                <c:pt idx="58">
                  <c:v>-6.9999999999999993E-3</c:v>
                </c:pt>
                <c:pt idx="59">
                  <c:v>-5.0000000000000001E-3</c:v>
                </c:pt>
                <c:pt idx="60">
                  <c:v>5.0000000000000001E-4</c:v>
                </c:pt>
                <c:pt idx="61">
                  <c:v>2E-3</c:v>
                </c:pt>
                <c:pt idx="62">
                  <c:v>1.8E-3</c:v>
                </c:pt>
                <c:pt idx="63">
                  <c:v>6.0999999999999995E-3</c:v>
                </c:pt>
                <c:pt idx="64">
                  <c:v>6.4000000000000003E-3</c:v>
                </c:pt>
                <c:pt idx="65">
                  <c:v>8.5000000000000006E-3</c:v>
                </c:pt>
                <c:pt idx="66">
                  <c:v>1.4199999999999999E-2</c:v>
                </c:pt>
                <c:pt idx="67">
                  <c:v>1.15E-2</c:v>
                </c:pt>
                <c:pt idx="68">
                  <c:v>1.77E-2</c:v>
                </c:pt>
                <c:pt idx="69">
                  <c:v>2.5999999999999999E-2</c:v>
                </c:pt>
                <c:pt idx="70">
                  <c:v>3.2000000000000001E-2</c:v>
                </c:pt>
                <c:pt idx="71">
                  <c:v>3.3000000000000002E-2</c:v>
                </c:pt>
                <c:pt idx="72" formatCode="0%">
                  <c:v>0.04</c:v>
                </c:pt>
                <c:pt idx="73">
                  <c:v>4.7E-2</c:v>
                </c:pt>
                <c:pt idx="74" formatCode="0%">
                  <c:v>0.05</c:v>
                </c:pt>
              </c:numCache>
            </c:numRef>
          </c:val>
          <c:smooth val="0"/>
          <c:extLst>
            <c:ext xmlns:c16="http://schemas.microsoft.com/office/drawing/2014/chart" uri="{C3380CC4-5D6E-409C-BE32-E72D297353CC}">
              <c16:uniqueId val="{00000000-CF8A-4843-8D43-7D619A731F1D}"/>
            </c:ext>
          </c:extLst>
        </c:ser>
        <c:ser>
          <c:idx val="1"/>
          <c:order val="1"/>
          <c:tx>
            <c:strRef>
              <c:f>RO!$C$1</c:f>
              <c:strCache>
                <c:ptCount val="1"/>
                <c:pt idx="0">
                  <c:v>ROBOR 3M</c:v>
                </c:pt>
              </c:strCache>
            </c:strRef>
          </c:tx>
          <c:marker>
            <c:symbol val="none"/>
          </c:marker>
          <c:cat>
            <c:strRef>
              <c:f>RO!$A$2:$A$76</c:f>
              <c:strCache>
                <c:ptCount val="75"/>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strCache>
            </c:strRef>
          </c:cat>
          <c:val>
            <c:numRef>
              <c:f>RO!$C$2:$C$76</c:f>
              <c:numCache>
                <c:formatCode>0.00%</c:formatCode>
                <c:ptCount val="75"/>
                <c:pt idx="0">
                  <c:v>5.5129999999999992E-2</c:v>
                </c:pt>
                <c:pt idx="1">
                  <c:v>5.044761904761904E-2</c:v>
                </c:pt>
                <c:pt idx="2">
                  <c:v>4.4977272727272741E-2</c:v>
                </c:pt>
                <c:pt idx="3">
                  <c:v>4.3719999999999988E-2</c:v>
                </c:pt>
                <c:pt idx="4">
                  <c:v>4.9381818181818173E-2</c:v>
                </c:pt>
                <c:pt idx="5">
                  <c:v>5.3485000000000012E-2</c:v>
                </c:pt>
                <c:pt idx="6">
                  <c:v>5.3477272727272727E-2</c:v>
                </c:pt>
                <c:pt idx="7">
                  <c:v>5.760454545454545E-2</c:v>
                </c:pt>
                <c:pt idx="8">
                  <c:v>5.7165000000000001E-2</c:v>
                </c:pt>
                <c:pt idx="9">
                  <c:v>5.7104347826086956E-2</c:v>
                </c:pt>
                <c:pt idx="10">
                  <c:v>5.8880952380952374E-2</c:v>
                </c:pt>
                <c:pt idx="11">
                  <c:v>6.043684210526315E-2</c:v>
                </c:pt>
                <c:pt idx="12">
                  <c:v>5.957619047619047E-2</c:v>
                </c:pt>
                <c:pt idx="13">
                  <c:v>5.8470000000000001E-2</c:v>
                </c:pt>
                <c:pt idx="14">
                  <c:v>5.3519047619047619E-2</c:v>
                </c:pt>
                <c:pt idx="15">
                  <c:v>4.5649999999999996E-2</c:v>
                </c:pt>
                <c:pt idx="16">
                  <c:v>4.0771428571428577E-2</c:v>
                </c:pt>
                <c:pt idx="17">
                  <c:v>4.4452631578947362E-2</c:v>
                </c:pt>
                <c:pt idx="18">
                  <c:v>4.5199999999999997E-2</c:v>
                </c:pt>
                <c:pt idx="19">
                  <c:v>3.9138095238095236E-2</c:v>
                </c:pt>
                <c:pt idx="20">
                  <c:v>3.6500000000000005E-2</c:v>
                </c:pt>
                <c:pt idx="21">
                  <c:v>3.1143478260869561E-2</c:v>
                </c:pt>
                <c:pt idx="22">
                  <c:v>2.690952380952381E-2</c:v>
                </c:pt>
                <c:pt idx="23">
                  <c:v>2.5809999999999996E-2</c:v>
                </c:pt>
                <c:pt idx="24">
                  <c:v>2.1285714285714286E-2</c:v>
                </c:pt>
                <c:pt idx="25">
                  <c:v>3.5415000000000002E-2</c:v>
                </c:pt>
                <c:pt idx="26">
                  <c:v>3.0757142857142851E-2</c:v>
                </c:pt>
                <c:pt idx="27">
                  <c:v>2.991428571428572E-2</c:v>
                </c:pt>
                <c:pt idx="28">
                  <c:v>2.873809523809524E-2</c:v>
                </c:pt>
                <c:pt idx="29">
                  <c:v>2.4859999999999997E-2</c:v>
                </c:pt>
                <c:pt idx="30">
                  <c:v>2.2226086956521743E-2</c:v>
                </c:pt>
                <c:pt idx="31">
                  <c:v>2.1684999999999999E-2</c:v>
                </c:pt>
                <c:pt idx="32">
                  <c:v>2.7650000000000001E-2</c:v>
                </c:pt>
                <c:pt idx="33">
                  <c:v>2.6526086956521741E-2</c:v>
                </c:pt>
                <c:pt idx="34">
                  <c:v>1.8144999999999994E-2</c:v>
                </c:pt>
                <c:pt idx="35">
                  <c:v>1.6945000000000002E-2</c:v>
                </c:pt>
                <c:pt idx="36">
                  <c:v>1.5780000000000002E-2</c:v>
                </c:pt>
                <c:pt idx="37">
                  <c:v>1.4169999999999999E-2</c:v>
                </c:pt>
                <c:pt idx="38">
                  <c:v>1.3495454545454543E-2</c:v>
                </c:pt>
                <c:pt idx="39">
                  <c:v>1.425238095238095E-2</c:v>
                </c:pt>
                <c:pt idx="40">
                  <c:v>1.3569999999999995E-2</c:v>
                </c:pt>
                <c:pt idx="41">
                  <c:v>1.2642857142857145E-2</c:v>
                </c:pt>
                <c:pt idx="42">
                  <c:v>1.2921739130434786E-2</c:v>
                </c:pt>
                <c:pt idx="43">
                  <c:v>1.3504761904761907E-2</c:v>
                </c:pt>
                <c:pt idx="44">
                  <c:v>1.4663636363636365E-2</c:v>
                </c:pt>
                <c:pt idx="45">
                  <c:v>1.3468181818181817E-2</c:v>
                </c:pt>
                <c:pt idx="46">
                  <c:v>1.1025E-2</c:v>
                </c:pt>
                <c:pt idx="47">
                  <c:v>1.0304761904761902E-2</c:v>
                </c:pt>
                <c:pt idx="48">
                  <c:v>9.3399999999999993E-3</c:v>
                </c:pt>
                <c:pt idx="49">
                  <c:v>7.9238095238095239E-3</c:v>
                </c:pt>
                <c:pt idx="50">
                  <c:v>7.7956521739130412E-3</c:v>
                </c:pt>
                <c:pt idx="51">
                  <c:v>7.7238095238095217E-3</c:v>
                </c:pt>
                <c:pt idx="52">
                  <c:v>7.5238095238095238E-3</c:v>
                </c:pt>
                <c:pt idx="53">
                  <c:v>7.6999999999999994E-3</c:v>
                </c:pt>
                <c:pt idx="54">
                  <c:v>8.0238095238095268E-3</c:v>
                </c:pt>
                <c:pt idx="55">
                  <c:v>7.8590909090909093E-3</c:v>
                </c:pt>
                <c:pt idx="56">
                  <c:v>7.2454545454545462E-3</c:v>
                </c:pt>
                <c:pt idx="57">
                  <c:v>6.9904761904761893E-3</c:v>
                </c:pt>
                <c:pt idx="58">
                  <c:v>7.7428571428571459E-3</c:v>
                </c:pt>
                <c:pt idx="59">
                  <c:v>8.2649999999999998E-3</c:v>
                </c:pt>
                <c:pt idx="60">
                  <c:v>8.235000000000001E-3</c:v>
                </c:pt>
                <c:pt idx="61">
                  <c:v>8.2450000000000006E-3</c:v>
                </c:pt>
                <c:pt idx="62">
                  <c:v>8.3260869565217402E-3</c:v>
                </c:pt>
                <c:pt idx="63">
                  <c:v>8.657894736842104E-3</c:v>
                </c:pt>
                <c:pt idx="64">
                  <c:v>8.7954545454545438E-3</c:v>
                </c:pt>
                <c:pt idx="65">
                  <c:v>8.3549999999999996E-3</c:v>
                </c:pt>
                <c:pt idx="66">
                  <c:v>8.6999999999999977E-3</c:v>
                </c:pt>
                <c:pt idx="67">
                  <c:v>8.8681818181818185E-3</c:v>
                </c:pt>
                <c:pt idx="68">
                  <c:v>1.0590476190476195E-2</c:v>
                </c:pt>
                <c:pt idx="69">
                  <c:v>1.8240909090909089E-2</c:v>
                </c:pt>
                <c:pt idx="70">
                  <c:v>2.0242857142857146E-2</c:v>
                </c:pt>
                <c:pt idx="71">
                  <c:v>2.1311111111111107E-2</c:v>
                </c:pt>
                <c:pt idx="72">
                  <c:v>1.9914999999999995E-2</c:v>
                </c:pt>
                <c:pt idx="73">
                  <c:v>2.0485000000000007E-2</c:v>
                </c:pt>
                <c:pt idx="74">
                  <c:v>2.058181818181818E-2</c:v>
                </c:pt>
              </c:numCache>
            </c:numRef>
          </c:val>
          <c:smooth val="0"/>
          <c:extLst>
            <c:ext xmlns:c16="http://schemas.microsoft.com/office/drawing/2014/chart" uri="{C3380CC4-5D6E-409C-BE32-E72D297353CC}">
              <c16:uniqueId val="{00000001-CF8A-4843-8D43-7D619A731F1D}"/>
            </c:ext>
          </c:extLst>
        </c:ser>
        <c:ser>
          <c:idx val="2"/>
          <c:order val="2"/>
          <c:tx>
            <c:strRef>
              <c:f>RO!$D$1</c:f>
              <c:strCache>
                <c:ptCount val="1"/>
                <c:pt idx="0">
                  <c:v>Dobanda de politica monetara</c:v>
                </c:pt>
              </c:strCache>
            </c:strRef>
          </c:tx>
          <c:marker>
            <c:symbol val="none"/>
          </c:marker>
          <c:cat>
            <c:strRef>
              <c:f>RO!$A$2:$A$76</c:f>
              <c:strCache>
                <c:ptCount val="75"/>
                <c:pt idx="0">
                  <c:v>2012M01</c:v>
                </c:pt>
                <c:pt idx="1">
                  <c:v>2012M02</c:v>
                </c:pt>
                <c:pt idx="2">
                  <c:v>2012M03</c:v>
                </c:pt>
                <c:pt idx="3">
                  <c:v>2012M04</c:v>
                </c:pt>
                <c:pt idx="4">
                  <c:v>2012M05</c:v>
                </c:pt>
                <c:pt idx="5">
                  <c:v>2012M06</c:v>
                </c:pt>
                <c:pt idx="6">
                  <c:v>2012M07</c:v>
                </c:pt>
                <c:pt idx="7">
                  <c:v>2012M08</c:v>
                </c:pt>
                <c:pt idx="8">
                  <c:v>2012M09</c:v>
                </c:pt>
                <c:pt idx="9">
                  <c:v>2012M10</c:v>
                </c:pt>
                <c:pt idx="10">
                  <c:v>2012M11</c:v>
                </c:pt>
                <c:pt idx="11">
                  <c:v>2012M12</c:v>
                </c:pt>
                <c:pt idx="12">
                  <c:v>2013M01</c:v>
                </c:pt>
                <c:pt idx="13">
                  <c:v>2013M02</c:v>
                </c:pt>
                <c:pt idx="14">
                  <c:v>2013M03</c:v>
                </c:pt>
                <c:pt idx="15">
                  <c:v>2013M04</c:v>
                </c:pt>
                <c:pt idx="16">
                  <c:v>2013M05</c:v>
                </c:pt>
                <c:pt idx="17">
                  <c:v>2013M06</c:v>
                </c:pt>
                <c:pt idx="18">
                  <c:v>2013M07</c:v>
                </c:pt>
                <c:pt idx="19">
                  <c:v>2013M08</c:v>
                </c:pt>
                <c:pt idx="20">
                  <c:v>2013M09</c:v>
                </c:pt>
                <c:pt idx="21">
                  <c:v>2013M10</c:v>
                </c:pt>
                <c:pt idx="22">
                  <c:v>2013M11</c:v>
                </c:pt>
                <c:pt idx="23">
                  <c:v>2013M12</c:v>
                </c:pt>
                <c:pt idx="24">
                  <c:v>2014M01</c:v>
                </c:pt>
                <c:pt idx="25">
                  <c:v>2014M02</c:v>
                </c:pt>
                <c:pt idx="26">
                  <c:v>2014M03</c:v>
                </c:pt>
                <c:pt idx="27">
                  <c:v>2014M04</c:v>
                </c:pt>
                <c:pt idx="28">
                  <c:v>2014M05</c:v>
                </c:pt>
                <c:pt idx="29">
                  <c:v>2014M06</c:v>
                </c:pt>
                <c:pt idx="30">
                  <c:v>2014M07</c:v>
                </c:pt>
                <c:pt idx="31">
                  <c:v>2014M08</c:v>
                </c:pt>
                <c:pt idx="32">
                  <c:v>2014M09</c:v>
                </c:pt>
                <c:pt idx="33">
                  <c:v>2014M10</c:v>
                </c:pt>
                <c:pt idx="34">
                  <c:v>2014M11</c:v>
                </c:pt>
                <c:pt idx="35">
                  <c:v>2014M12</c:v>
                </c:pt>
                <c:pt idx="36">
                  <c:v>2015M01</c:v>
                </c:pt>
                <c:pt idx="37">
                  <c:v>2015M02</c:v>
                </c:pt>
                <c:pt idx="38">
                  <c:v>2015M03</c:v>
                </c:pt>
                <c:pt idx="39">
                  <c:v>2015M04</c:v>
                </c:pt>
                <c:pt idx="40">
                  <c:v>2015M05</c:v>
                </c:pt>
                <c:pt idx="41">
                  <c:v>2015M06</c:v>
                </c:pt>
                <c:pt idx="42">
                  <c:v>2015M07</c:v>
                </c:pt>
                <c:pt idx="43">
                  <c:v>2015M08</c:v>
                </c:pt>
                <c:pt idx="44">
                  <c:v>2015M09</c:v>
                </c:pt>
                <c:pt idx="45">
                  <c:v>2015M10</c:v>
                </c:pt>
                <c:pt idx="46">
                  <c:v>2015M11</c:v>
                </c:pt>
                <c:pt idx="47">
                  <c:v>2015M12</c:v>
                </c:pt>
                <c:pt idx="48">
                  <c:v>2016M01</c:v>
                </c:pt>
                <c:pt idx="49">
                  <c:v>2016M02</c:v>
                </c:pt>
                <c:pt idx="50">
                  <c:v>2016M03</c:v>
                </c:pt>
                <c:pt idx="51">
                  <c:v>2016M04</c:v>
                </c:pt>
                <c:pt idx="52">
                  <c:v>2016M05</c:v>
                </c:pt>
                <c:pt idx="53">
                  <c:v>2016M06</c:v>
                </c:pt>
                <c:pt idx="54">
                  <c:v>2016M07</c:v>
                </c:pt>
                <c:pt idx="55">
                  <c:v>2016M08</c:v>
                </c:pt>
                <c:pt idx="56">
                  <c:v>2016M09</c:v>
                </c:pt>
                <c:pt idx="57">
                  <c:v>2016M10</c:v>
                </c:pt>
                <c:pt idx="58">
                  <c:v>2016M11</c:v>
                </c:pt>
                <c:pt idx="59">
                  <c:v>2016M12</c:v>
                </c:pt>
                <c:pt idx="60">
                  <c:v>2017M01</c:v>
                </c:pt>
                <c:pt idx="61">
                  <c:v>2017M02</c:v>
                </c:pt>
                <c:pt idx="62">
                  <c:v>2017M03</c:v>
                </c:pt>
                <c:pt idx="63">
                  <c:v>2017M04</c:v>
                </c:pt>
                <c:pt idx="64">
                  <c:v>2017M05</c:v>
                </c:pt>
                <c:pt idx="65">
                  <c:v>2017M06</c:v>
                </c:pt>
                <c:pt idx="66">
                  <c:v>2017M07</c:v>
                </c:pt>
                <c:pt idx="67">
                  <c:v>2017M08</c:v>
                </c:pt>
                <c:pt idx="68">
                  <c:v>2017M09</c:v>
                </c:pt>
                <c:pt idx="69">
                  <c:v>2017M10</c:v>
                </c:pt>
                <c:pt idx="70">
                  <c:v>2017M11</c:v>
                </c:pt>
                <c:pt idx="71">
                  <c:v>2017M12</c:v>
                </c:pt>
                <c:pt idx="72">
                  <c:v>2018M01</c:v>
                </c:pt>
                <c:pt idx="73">
                  <c:v>2018M02</c:v>
                </c:pt>
                <c:pt idx="74">
                  <c:v>2018M03</c:v>
                </c:pt>
              </c:strCache>
            </c:strRef>
          </c:cat>
          <c:val>
            <c:numRef>
              <c:f>RO!$D$2:$D$76</c:f>
              <c:numCache>
                <c:formatCode>0.00%</c:formatCode>
                <c:ptCount val="75"/>
                <c:pt idx="0">
                  <c:v>5.7500000000000002E-2</c:v>
                </c:pt>
                <c:pt idx="1">
                  <c:v>5.5E-2</c:v>
                </c:pt>
                <c:pt idx="2">
                  <c:v>5.5E-2</c:v>
                </c:pt>
                <c:pt idx="3">
                  <c:v>5.2499999999999998E-2</c:v>
                </c:pt>
                <c:pt idx="4">
                  <c:v>5.2499999999999998E-2</c:v>
                </c:pt>
                <c:pt idx="5">
                  <c:v>5.2499999999999998E-2</c:v>
                </c:pt>
                <c:pt idx="6">
                  <c:v>5.2499999999999998E-2</c:v>
                </c:pt>
                <c:pt idx="7">
                  <c:v>5.2499999999999998E-2</c:v>
                </c:pt>
                <c:pt idx="8">
                  <c:v>5.2499999999999998E-2</c:v>
                </c:pt>
                <c:pt idx="9">
                  <c:v>5.2499999999999998E-2</c:v>
                </c:pt>
                <c:pt idx="10">
                  <c:v>5.2499999999999998E-2</c:v>
                </c:pt>
                <c:pt idx="11">
                  <c:v>5.2499999999999998E-2</c:v>
                </c:pt>
                <c:pt idx="12">
                  <c:v>5.2499999999999998E-2</c:v>
                </c:pt>
                <c:pt idx="13">
                  <c:v>5.2499999999999998E-2</c:v>
                </c:pt>
                <c:pt idx="14">
                  <c:v>5.2499999999999998E-2</c:v>
                </c:pt>
                <c:pt idx="15">
                  <c:v>5.2499999999999998E-2</c:v>
                </c:pt>
                <c:pt idx="16">
                  <c:v>5.2499999999999998E-2</c:v>
                </c:pt>
                <c:pt idx="17">
                  <c:v>5.2499999999999998E-2</c:v>
                </c:pt>
                <c:pt idx="18">
                  <c:v>0.05</c:v>
                </c:pt>
                <c:pt idx="19">
                  <c:v>4.4999999999999998E-2</c:v>
                </c:pt>
                <c:pt idx="20">
                  <c:v>4.4999999999999998E-2</c:v>
                </c:pt>
                <c:pt idx="21">
                  <c:v>4.2500000000000003E-2</c:v>
                </c:pt>
                <c:pt idx="22">
                  <c:v>0.04</c:v>
                </c:pt>
                <c:pt idx="23">
                  <c:v>3.7499999999999999E-2</c:v>
                </c:pt>
                <c:pt idx="24">
                  <c:v>3.7499999999999999E-2</c:v>
                </c:pt>
                <c:pt idx="25">
                  <c:v>3.5000000000000003E-2</c:v>
                </c:pt>
                <c:pt idx="26">
                  <c:v>3.5000000000000003E-2</c:v>
                </c:pt>
                <c:pt idx="27">
                  <c:v>3.5000000000000003E-2</c:v>
                </c:pt>
                <c:pt idx="28">
                  <c:v>3.5000000000000003E-2</c:v>
                </c:pt>
                <c:pt idx="29">
                  <c:v>3.5000000000000003E-2</c:v>
                </c:pt>
                <c:pt idx="30">
                  <c:v>3.5000000000000003E-2</c:v>
                </c:pt>
                <c:pt idx="31">
                  <c:v>3.2500000000000001E-2</c:v>
                </c:pt>
                <c:pt idx="32">
                  <c:v>3.2500000000000001E-2</c:v>
                </c:pt>
                <c:pt idx="33">
                  <c:v>0.03</c:v>
                </c:pt>
                <c:pt idx="34">
                  <c:v>2.75E-2</c:v>
                </c:pt>
                <c:pt idx="35">
                  <c:v>2.75E-2</c:v>
                </c:pt>
                <c:pt idx="36">
                  <c:v>2.5000000000000001E-2</c:v>
                </c:pt>
                <c:pt idx="37">
                  <c:v>2.2499999999999999E-2</c:v>
                </c:pt>
                <c:pt idx="38">
                  <c:v>0.02</c:v>
                </c:pt>
                <c:pt idx="39">
                  <c:v>0.02</c:v>
                </c:pt>
                <c:pt idx="40">
                  <c:v>1.7500000000000002E-2</c:v>
                </c:pt>
                <c:pt idx="41">
                  <c:v>1.7500000000000002E-2</c:v>
                </c:pt>
                <c:pt idx="42">
                  <c:v>1.7500000000000002E-2</c:v>
                </c:pt>
                <c:pt idx="43">
                  <c:v>1.7500000000000002E-2</c:v>
                </c:pt>
                <c:pt idx="44">
                  <c:v>1.7500000000000002E-2</c:v>
                </c:pt>
                <c:pt idx="45">
                  <c:v>1.7500000000000002E-2</c:v>
                </c:pt>
                <c:pt idx="46">
                  <c:v>1.7500000000000002E-2</c:v>
                </c:pt>
                <c:pt idx="47">
                  <c:v>1.7500000000000002E-2</c:v>
                </c:pt>
                <c:pt idx="48">
                  <c:v>1.7500000000000002E-2</c:v>
                </c:pt>
                <c:pt idx="49">
                  <c:v>1.7500000000000002E-2</c:v>
                </c:pt>
                <c:pt idx="50">
                  <c:v>1.7500000000000002E-2</c:v>
                </c:pt>
                <c:pt idx="51">
                  <c:v>1.7500000000000002E-2</c:v>
                </c:pt>
                <c:pt idx="52">
                  <c:v>1.7500000000000002E-2</c:v>
                </c:pt>
                <c:pt idx="53">
                  <c:v>1.7500000000000002E-2</c:v>
                </c:pt>
                <c:pt idx="54">
                  <c:v>1.7500000000000002E-2</c:v>
                </c:pt>
                <c:pt idx="55">
                  <c:v>1.7500000000000002E-2</c:v>
                </c:pt>
                <c:pt idx="56">
                  <c:v>1.7500000000000002E-2</c:v>
                </c:pt>
                <c:pt idx="57">
                  <c:v>1.7500000000000002E-2</c:v>
                </c:pt>
                <c:pt idx="58">
                  <c:v>1.7500000000000002E-2</c:v>
                </c:pt>
                <c:pt idx="59">
                  <c:v>1.7500000000000002E-2</c:v>
                </c:pt>
                <c:pt idx="60">
                  <c:v>1.7500000000000002E-2</c:v>
                </c:pt>
                <c:pt idx="61">
                  <c:v>1.7500000000000002E-2</c:v>
                </c:pt>
                <c:pt idx="62">
                  <c:v>1.7500000000000002E-2</c:v>
                </c:pt>
                <c:pt idx="63">
                  <c:v>1.7500000000000002E-2</c:v>
                </c:pt>
                <c:pt idx="64">
                  <c:v>1.7500000000000002E-2</c:v>
                </c:pt>
                <c:pt idx="65">
                  <c:v>1.7500000000000002E-2</c:v>
                </c:pt>
                <c:pt idx="66">
                  <c:v>1.7500000000000002E-2</c:v>
                </c:pt>
                <c:pt idx="67">
                  <c:v>1.7500000000000002E-2</c:v>
                </c:pt>
                <c:pt idx="68">
                  <c:v>1.7500000000000002E-2</c:v>
                </c:pt>
                <c:pt idx="69">
                  <c:v>1.7500000000000002E-2</c:v>
                </c:pt>
                <c:pt idx="70">
                  <c:v>1.7500000000000002E-2</c:v>
                </c:pt>
                <c:pt idx="71">
                  <c:v>1.7500000000000002E-2</c:v>
                </c:pt>
                <c:pt idx="72" formatCode="0%">
                  <c:v>0.02</c:v>
                </c:pt>
                <c:pt idx="73">
                  <c:v>2.2499999999999999E-2</c:v>
                </c:pt>
                <c:pt idx="74">
                  <c:v>2.2499999999999999E-2</c:v>
                </c:pt>
              </c:numCache>
            </c:numRef>
          </c:val>
          <c:smooth val="0"/>
          <c:extLst>
            <c:ext xmlns:c16="http://schemas.microsoft.com/office/drawing/2014/chart" uri="{C3380CC4-5D6E-409C-BE32-E72D297353CC}">
              <c16:uniqueId val="{00000002-CF8A-4843-8D43-7D619A731F1D}"/>
            </c:ext>
          </c:extLst>
        </c:ser>
        <c:dLbls>
          <c:showLegendKey val="0"/>
          <c:showVal val="0"/>
          <c:showCatName val="0"/>
          <c:showSerName val="0"/>
          <c:showPercent val="0"/>
          <c:showBubbleSize val="0"/>
        </c:dLbls>
        <c:smooth val="0"/>
        <c:axId val="114376064"/>
        <c:axId val="114377856"/>
      </c:lineChart>
      <c:catAx>
        <c:axId val="114376064"/>
        <c:scaling>
          <c:orientation val="minMax"/>
        </c:scaling>
        <c:delete val="0"/>
        <c:axPos val="b"/>
        <c:numFmt formatCode="General" sourceLinked="0"/>
        <c:majorTickMark val="out"/>
        <c:minorTickMark val="none"/>
        <c:tickLblPos val="low"/>
        <c:txPr>
          <a:bodyPr/>
          <a:lstStyle/>
          <a:p>
            <a:pPr>
              <a:defRPr sz="800"/>
            </a:pPr>
            <a:endParaRPr lang="en-US"/>
          </a:p>
        </c:txPr>
        <c:crossAx val="114377856"/>
        <c:crosses val="autoZero"/>
        <c:auto val="1"/>
        <c:lblAlgn val="ctr"/>
        <c:lblOffset val="100"/>
        <c:noMultiLvlLbl val="0"/>
      </c:catAx>
      <c:valAx>
        <c:axId val="114377856"/>
        <c:scaling>
          <c:orientation val="minMax"/>
        </c:scaling>
        <c:delete val="0"/>
        <c:axPos val="l"/>
        <c:numFmt formatCode="0.00%" sourceLinked="1"/>
        <c:majorTickMark val="out"/>
        <c:minorTickMark val="none"/>
        <c:tickLblPos val="nextTo"/>
        <c:crossAx val="114376064"/>
        <c:crosses val="autoZero"/>
        <c:crossBetween val="between"/>
      </c:valAx>
    </c:plotArea>
    <c:legend>
      <c:legendPos val="r"/>
      <c:layout>
        <c:manualLayout>
          <c:xMode val="edge"/>
          <c:yMode val="edge"/>
          <c:x val="0.38457000619604903"/>
          <c:y val="2.9749362315626038E-3"/>
          <c:w val="0.61107636816156108"/>
          <c:h val="0.28958023732948873"/>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9685039370079"/>
          <c:y val="6.0659813356663747E-2"/>
          <c:w val="0.82631605424321952"/>
          <c:h val="0.8326195683872849"/>
        </c:manualLayout>
      </c:layout>
      <c:barChart>
        <c:barDir val="col"/>
        <c:grouping val="clustered"/>
        <c:varyColors val="0"/>
        <c:ser>
          <c:idx val="1"/>
          <c:order val="1"/>
          <c:tx>
            <c:strRef>
              <c:f>MIT!$D$1</c:f>
              <c:strCache>
                <c:ptCount val="1"/>
                <c:pt idx="0">
                  <c:v>ROA (T+1)</c:v>
                </c:pt>
              </c:strCache>
            </c:strRef>
          </c:tx>
          <c:invertIfNegative val="0"/>
          <c:cat>
            <c:numRef>
              <c:f>MIT!$A$2:$A$7</c:f>
              <c:numCache>
                <c:formatCode>General</c:formatCode>
                <c:ptCount val="6"/>
                <c:pt idx="0">
                  <c:v>2010</c:v>
                </c:pt>
                <c:pt idx="1">
                  <c:v>2011</c:v>
                </c:pt>
                <c:pt idx="2">
                  <c:v>2012</c:v>
                </c:pt>
                <c:pt idx="3">
                  <c:v>2013</c:v>
                </c:pt>
                <c:pt idx="4">
                  <c:v>2014</c:v>
                </c:pt>
                <c:pt idx="5">
                  <c:v>2015</c:v>
                </c:pt>
              </c:numCache>
            </c:numRef>
          </c:cat>
          <c:val>
            <c:numRef>
              <c:f>MIT!$D$2:$D$7</c:f>
              <c:numCache>
                <c:formatCode>0.0%</c:formatCode>
                <c:ptCount val="6"/>
                <c:pt idx="0">
                  <c:v>5.1999999999999998E-2</c:v>
                </c:pt>
                <c:pt idx="1">
                  <c:v>5.3999999999999999E-2</c:v>
                </c:pt>
                <c:pt idx="2">
                  <c:v>5.0999999999999997E-2</c:v>
                </c:pt>
                <c:pt idx="3">
                  <c:v>3.3000000000000002E-2</c:v>
                </c:pt>
                <c:pt idx="4">
                  <c:v>8.9999999999999993E-3</c:v>
                </c:pt>
                <c:pt idx="5">
                  <c:v>-1.7999999999999999E-2</c:v>
                </c:pt>
              </c:numCache>
            </c:numRef>
          </c:val>
          <c:extLst>
            <c:ext xmlns:c16="http://schemas.microsoft.com/office/drawing/2014/chart" uri="{C3380CC4-5D6E-409C-BE32-E72D297353CC}">
              <c16:uniqueId val="{00000000-DD15-4949-87D0-83C62DFB2CB4}"/>
            </c:ext>
          </c:extLst>
        </c:ser>
        <c:ser>
          <c:idx val="2"/>
          <c:order val="2"/>
          <c:tx>
            <c:strRef>
              <c:f>MIT!$E$1</c:f>
              <c:strCache>
                <c:ptCount val="1"/>
                <c:pt idx="0">
                  <c:v>ROA (T+2)</c:v>
                </c:pt>
              </c:strCache>
            </c:strRef>
          </c:tx>
          <c:invertIfNegative val="0"/>
          <c:cat>
            <c:numRef>
              <c:f>MIT!$A$2:$A$7</c:f>
              <c:numCache>
                <c:formatCode>General</c:formatCode>
                <c:ptCount val="6"/>
                <c:pt idx="0">
                  <c:v>2010</c:v>
                </c:pt>
                <c:pt idx="1">
                  <c:v>2011</c:v>
                </c:pt>
                <c:pt idx="2">
                  <c:v>2012</c:v>
                </c:pt>
                <c:pt idx="3">
                  <c:v>2013</c:v>
                </c:pt>
                <c:pt idx="4">
                  <c:v>2014</c:v>
                </c:pt>
                <c:pt idx="5">
                  <c:v>2015</c:v>
                </c:pt>
              </c:numCache>
            </c:numRef>
          </c:cat>
          <c:val>
            <c:numRef>
              <c:f>MIT!$E$2:$E$7</c:f>
              <c:numCache>
                <c:formatCode>0.0%</c:formatCode>
                <c:ptCount val="6"/>
                <c:pt idx="0">
                  <c:v>9.7000000000000003E-2</c:v>
                </c:pt>
                <c:pt idx="1">
                  <c:v>8.1000000000000003E-2</c:v>
                </c:pt>
                <c:pt idx="2">
                  <c:v>9.4E-2</c:v>
                </c:pt>
                <c:pt idx="3">
                  <c:v>5.3999999999999999E-2</c:v>
                </c:pt>
                <c:pt idx="4">
                  <c:v>2.3E-2</c:v>
                </c:pt>
              </c:numCache>
            </c:numRef>
          </c:val>
          <c:extLst>
            <c:ext xmlns:c16="http://schemas.microsoft.com/office/drawing/2014/chart" uri="{C3380CC4-5D6E-409C-BE32-E72D297353CC}">
              <c16:uniqueId val="{00000001-DD15-4949-87D0-83C62DFB2CB4}"/>
            </c:ext>
          </c:extLst>
        </c:ser>
        <c:ser>
          <c:idx val="3"/>
          <c:order val="3"/>
          <c:tx>
            <c:strRef>
              <c:f>MIT!$F$1</c:f>
              <c:strCache>
                <c:ptCount val="1"/>
                <c:pt idx="0">
                  <c:v>ROA (T+3)</c:v>
                </c:pt>
              </c:strCache>
            </c:strRef>
          </c:tx>
          <c:invertIfNegative val="0"/>
          <c:cat>
            <c:numRef>
              <c:f>MIT!$A$2:$A$7</c:f>
              <c:numCache>
                <c:formatCode>General</c:formatCode>
                <c:ptCount val="6"/>
                <c:pt idx="0">
                  <c:v>2010</c:v>
                </c:pt>
                <c:pt idx="1">
                  <c:v>2011</c:v>
                </c:pt>
                <c:pt idx="2">
                  <c:v>2012</c:v>
                </c:pt>
                <c:pt idx="3">
                  <c:v>2013</c:v>
                </c:pt>
                <c:pt idx="4">
                  <c:v>2014</c:v>
                </c:pt>
                <c:pt idx="5">
                  <c:v>2015</c:v>
                </c:pt>
              </c:numCache>
            </c:numRef>
          </c:cat>
          <c:val>
            <c:numRef>
              <c:f>MIT!$F$2:$F$7</c:f>
              <c:numCache>
                <c:formatCode>0.0%</c:formatCode>
                <c:ptCount val="6"/>
                <c:pt idx="0">
                  <c:v>0.15</c:v>
                </c:pt>
                <c:pt idx="1">
                  <c:v>0.13500000000000001</c:v>
                </c:pt>
                <c:pt idx="2">
                  <c:v>0.11799999999999999</c:v>
                </c:pt>
                <c:pt idx="3">
                  <c:v>6.2E-2</c:v>
                </c:pt>
              </c:numCache>
            </c:numRef>
          </c:val>
          <c:extLst>
            <c:ext xmlns:c16="http://schemas.microsoft.com/office/drawing/2014/chart" uri="{C3380CC4-5D6E-409C-BE32-E72D297353CC}">
              <c16:uniqueId val="{00000002-DD15-4949-87D0-83C62DFB2CB4}"/>
            </c:ext>
          </c:extLst>
        </c:ser>
        <c:dLbls>
          <c:showLegendKey val="0"/>
          <c:showVal val="0"/>
          <c:showCatName val="0"/>
          <c:showSerName val="0"/>
          <c:showPercent val="0"/>
          <c:showBubbleSize val="0"/>
        </c:dLbls>
        <c:gapWidth val="150"/>
        <c:axId val="114400640"/>
        <c:axId val="114414720"/>
      </c:barChart>
      <c:lineChart>
        <c:grouping val="standard"/>
        <c:varyColors val="0"/>
        <c:ser>
          <c:idx val="0"/>
          <c:order val="0"/>
          <c:tx>
            <c:strRef>
              <c:f>MIT!$C$1</c:f>
              <c:strCache>
                <c:ptCount val="1"/>
                <c:pt idx="0">
                  <c:v>Dobanzi Credite</c:v>
                </c:pt>
              </c:strCache>
            </c:strRef>
          </c:tx>
          <c:cat>
            <c:numRef>
              <c:f>MIT!$A$2:$A$7</c:f>
              <c:numCache>
                <c:formatCode>General</c:formatCode>
                <c:ptCount val="6"/>
                <c:pt idx="0">
                  <c:v>2010</c:v>
                </c:pt>
                <c:pt idx="1">
                  <c:v>2011</c:v>
                </c:pt>
                <c:pt idx="2">
                  <c:v>2012</c:v>
                </c:pt>
                <c:pt idx="3">
                  <c:v>2013</c:v>
                </c:pt>
                <c:pt idx="4">
                  <c:v>2014</c:v>
                </c:pt>
                <c:pt idx="5">
                  <c:v>2015</c:v>
                </c:pt>
              </c:numCache>
            </c:numRef>
          </c:cat>
          <c:val>
            <c:numRef>
              <c:f>MIT!$C$2:$C$7</c:f>
              <c:numCache>
                <c:formatCode>0.0%</c:formatCode>
                <c:ptCount val="6"/>
                <c:pt idx="0">
                  <c:v>0.11366666666666665</c:v>
                </c:pt>
                <c:pt idx="1">
                  <c:v>9.714166666666664E-2</c:v>
                </c:pt>
                <c:pt idx="2">
                  <c:v>9.5783333333333318E-2</c:v>
                </c:pt>
                <c:pt idx="3">
                  <c:v>8.7116666666666676E-2</c:v>
                </c:pt>
                <c:pt idx="4">
                  <c:v>6.5199999999999994E-2</c:v>
                </c:pt>
                <c:pt idx="5">
                  <c:v>4.8463636363636368E-2</c:v>
                </c:pt>
              </c:numCache>
            </c:numRef>
          </c:val>
          <c:smooth val="0"/>
          <c:extLst>
            <c:ext xmlns:c16="http://schemas.microsoft.com/office/drawing/2014/chart" uri="{C3380CC4-5D6E-409C-BE32-E72D297353CC}">
              <c16:uniqueId val="{00000003-DD15-4949-87D0-83C62DFB2CB4}"/>
            </c:ext>
          </c:extLst>
        </c:ser>
        <c:dLbls>
          <c:showLegendKey val="0"/>
          <c:showVal val="0"/>
          <c:showCatName val="0"/>
          <c:showSerName val="0"/>
          <c:showPercent val="0"/>
          <c:showBubbleSize val="0"/>
        </c:dLbls>
        <c:marker val="1"/>
        <c:smooth val="0"/>
        <c:axId val="114400640"/>
        <c:axId val="114414720"/>
      </c:lineChart>
      <c:catAx>
        <c:axId val="114400640"/>
        <c:scaling>
          <c:orientation val="minMax"/>
        </c:scaling>
        <c:delete val="0"/>
        <c:axPos val="b"/>
        <c:numFmt formatCode="General" sourceLinked="1"/>
        <c:majorTickMark val="out"/>
        <c:minorTickMark val="none"/>
        <c:tickLblPos val="low"/>
        <c:crossAx val="114414720"/>
        <c:crosses val="autoZero"/>
        <c:auto val="1"/>
        <c:lblAlgn val="ctr"/>
        <c:lblOffset val="100"/>
        <c:noMultiLvlLbl val="0"/>
      </c:catAx>
      <c:valAx>
        <c:axId val="114414720"/>
        <c:scaling>
          <c:orientation val="minMax"/>
        </c:scaling>
        <c:delete val="0"/>
        <c:axPos val="l"/>
        <c:numFmt formatCode="0.0%" sourceLinked="1"/>
        <c:majorTickMark val="out"/>
        <c:minorTickMark val="none"/>
        <c:tickLblPos val="nextTo"/>
        <c:crossAx val="114400640"/>
        <c:crosses val="autoZero"/>
        <c:crossBetween val="between"/>
      </c:valAx>
    </c:plotArea>
    <c:legend>
      <c:legendPos val="r"/>
      <c:layout>
        <c:manualLayout>
          <c:xMode val="edge"/>
          <c:yMode val="edge"/>
          <c:x val="0.6183670231519568"/>
          <c:y val="5.4787839020122485E-2"/>
          <c:w val="0.36364731460806204"/>
          <c:h val="0.29978104710595388"/>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Coface SA</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GUDA Iancu</dc:creator>
  <cp:lastModifiedBy>claudiu apo</cp:lastModifiedBy>
  <cp:revision>49</cp:revision>
  <dcterms:created xsi:type="dcterms:W3CDTF">2018-04-21T05:29:00Z</dcterms:created>
  <dcterms:modified xsi:type="dcterms:W3CDTF">2018-04-23T18:15:00Z</dcterms:modified>
</cp:coreProperties>
</file>